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88"/>
        <w:gridCol w:w="1253"/>
        <w:gridCol w:w="2915"/>
        <w:gridCol w:w="126"/>
        <w:gridCol w:w="1730"/>
        <w:gridCol w:w="1317"/>
      </w:tblGrid>
      <w:tr w:rsidR="006E0E70" w:rsidTr="00D15639">
        <w:trPr>
          <w:trHeight w:hRule="exact" w:val="372"/>
          <w:jc w:val="center"/>
        </w:trPr>
        <w:bookmarkStart w:id="0" w:name="SavedEditLocation" w:displacedByCustomXml="next"/>
        <w:bookmarkEnd w:id="0" w:displacedByCustomXml="next"/>
        <w:sdt>
          <w:sdtPr>
            <w:id w:val="561824564"/>
            <w:placeholder>
              <w:docPart w:val="7A901E9DD7024D289C400AA91093BFAE"/>
            </w:placeholder>
            <w:temporary/>
            <w:showingPlcHdr/>
          </w:sdtPr>
          <w:sdtEndPr/>
          <w:sdtContent>
            <w:tc>
              <w:tcPr>
                <w:tcW w:w="912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B4503C">
                <w:pPr>
                  <w:pStyle w:val="MinutesandAgendaTitles"/>
                </w:pPr>
                <w:r>
                  <w:t>[Meeting Title]</w:t>
                </w:r>
              </w:p>
            </w:tc>
          </w:sdtContent>
        </w:sdt>
      </w:tr>
      <w:tr w:rsidR="006E0E70" w:rsidTr="00D15639">
        <w:trPr>
          <w:trHeight w:hRule="exact" w:val="372"/>
          <w:jc w:val="center"/>
        </w:trPr>
        <w:sdt>
          <w:sdtPr>
            <w:id w:val="22626047"/>
            <w:placeholder>
              <w:docPart w:val="77521F5147D84B5D9939E731D973721B"/>
            </w:placeholder>
            <w:dataBinding w:prefixMappings="xmlns:ns0='http://schemas.microsoft.com/office/2006/coverPageProps'" w:xpath="/ns0:CoverPageProperties[1]/ns0:PublishDate[1]" w:storeItemID="{55AF091B-3C7A-41E3-B477-F2FDAA23CFDA}"/>
            <w:date w:fullDate="2015-05-07T00:00:00Z">
              <w:dateFormat w:val="M.d.yyyy"/>
              <w:lid w:val="en-US"/>
              <w:storeMappedDataAs w:val="dateTime"/>
              <w:calendar w:val="gregorian"/>
            </w:date>
          </w:sdtPr>
          <w:sdtEndPr/>
          <w:sdtContent>
            <w:tc>
              <w:tcPr>
                <w:tcW w:w="30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98493A">
                <w:pPr>
                  <w:pStyle w:val="BodyCopy"/>
                </w:pPr>
                <w:r>
                  <w:t>5.7</w:t>
                </w:r>
                <w:r w:rsidR="00950764">
                  <w:t>.2015</w:t>
                </w:r>
              </w:p>
            </w:tc>
          </w:sdtContent>
        </w:sdt>
        <w:tc>
          <w:tcPr>
            <w:tcW w:w="304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950764" w:rsidP="00950764">
            <w:pPr>
              <w:pStyle w:val="BodyCopy"/>
            </w:pPr>
            <w:r>
              <w:rPr>
                <w:spacing w:val="0"/>
              </w:rPr>
              <w:t xml:space="preserve">Wildlife Advisory </w:t>
            </w:r>
            <w:r w:rsidR="00C76EB0">
              <w:rPr>
                <w:spacing w:val="0"/>
              </w:rPr>
              <w:t>Committee</w:t>
            </w:r>
          </w:p>
        </w:tc>
        <w:tc>
          <w:tcPr>
            <w:tcW w:w="304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6E0E70" w:rsidRDefault="00950764" w:rsidP="00950764">
            <w:pPr>
              <w:pStyle w:val="BodyCopy"/>
            </w:pPr>
            <w:r>
              <w:rPr>
                <w:spacing w:val="0"/>
              </w:rPr>
              <w:t>NPCC Offices</w:t>
            </w:r>
          </w:p>
        </w:tc>
      </w:tr>
      <w:tr w:rsidR="006E0E70" w:rsidTr="00D15639">
        <w:trPr>
          <w:trHeight w:hRule="exact" w:val="946"/>
          <w:jc w:val="center"/>
        </w:trPr>
        <w:tc>
          <w:tcPr>
            <w:tcW w:w="17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4503C">
            <w:pPr>
              <w:pStyle w:val="BodyCopy"/>
            </w:pPr>
            <w:r>
              <w:t>Attendees</w:t>
            </w:r>
          </w:p>
        </w:tc>
        <w:tc>
          <w:tcPr>
            <w:tcW w:w="734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05D64" w:rsidRPr="00A05D64" w:rsidRDefault="0098493A" w:rsidP="00A05D64">
            <w:pPr>
              <w:pStyle w:val="BodyCopy"/>
            </w:pPr>
            <w:r>
              <w:t>Peter Paquet,</w:t>
            </w:r>
            <w:r w:rsidR="00950764">
              <w:t xml:space="preserve"> Kelly Singe</w:t>
            </w:r>
            <w:r>
              <w:t>r,</w:t>
            </w:r>
            <w:r w:rsidR="00950764">
              <w:t xml:space="preserve"> Chris </w:t>
            </w:r>
            <w:r w:rsidR="00302DA6">
              <w:t>Wheaton,</w:t>
            </w:r>
            <w:r w:rsidR="00950764">
              <w:t xml:space="preserve"> Mark Fritsch, </w:t>
            </w:r>
            <w:r w:rsidR="006C2774">
              <w:t>Kerry Berg</w:t>
            </w:r>
            <w:r w:rsidR="00A05D64">
              <w:t xml:space="preserve">, </w:t>
            </w:r>
            <w:r w:rsidR="00950764">
              <w:t>Philip Key</w:t>
            </w:r>
            <w:r>
              <w:t xml:space="preserve">, </w:t>
            </w:r>
            <w:r w:rsidR="00A05D64">
              <w:t>Paul Dahmer,</w:t>
            </w:r>
            <w:r w:rsidR="00950764">
              <w:t xml:space="preserve"> Norm </w:t>
            </w:r>
            <w:proofErr w:type="spellStart"/>
            <w:r w:rsidR="002A0C3D">
              <w:t>Merz</w:t>
            </w:r>
            <w:proofErr w:type="spellEnd"/>
            <w:r w:rsidR="002A0C3D">
              <w:t xml:space="preserve">,  </w:t>
            </w:r>
            <w:proofErr w:type="spellStart"/>
            <w:r w:rsidR="00302DA6">
              <w:t>Robert.Stephens</w:t>
            </w:r>
            <w:proofErr w:type="spellEnd"/>
            <w:r w:rsidR="006D5D9D">
              <w:t xml:space="preserve">, </w:t>
            </w:r>
            <w:r w:rsidR="002A0C3D">
              <w:t xml:space="preserve">Bob Austin, </w:t>
            </w:r>
            <w:proofErr w:type="spellStart"/>
            <w:r w:rsidR="00A05D64" w:rsidRPr="00A05D64">
              <w:rPr>
                <w:rFonts w:hint="eastAsia"/>
              </w:rPr>
              <w:t>Aren</w:t>
            </w:r>
            <w:proofErr w:type="spellEnd"/>
            <w:r w:rsidR="00A05D64" w:rsidRPr="00A05D64">
              <w:rPr>
                <w:rFonts w:hint="eastAsia"/>
              </w:rPr>
              <w:t xml:space="preserve"> </w:t>
            </w:r>
            <w:proofErr w:type="spellStart"/>
            <w:r w:rsidR="00A05D64" w:rsidRPr="00A05D64">
              <w:rPr>
                <w:rFonts w:hint="eastAsia"/>
              </w:rPr>
              <w:t>Eddingsaas</w:t>
            </w:r>
            <w:proofErr w:type="spellEnd"/>
            <w:r w:rsidR="00A05D64">
              <w:t xml:space="preserve">, </w:t>
            </w:r>
            <w:r w:rsidR="002A0C3D">
              <w:rPr>
                <w:rFonts w:hint="eastAsia"/>
              </w:rPr>
              <w:t>Sandra</w:t>
            </w:r>
            <w:r w:rsidR="006D5D9D">
              <w:t xml:space="preserve"> Fife</w:t>
            </w:r>
            <w:r w:rsidR="002A0C3D">
              <w:rPr>
                <w:rFonts w:hint="eastAsia"/>
              </w:rPr>
              <w:t>,</w:t>
            </w:r>
            <w:r w:rsidR="002A0C3D">
              <w:t xml:space="preserve"> </w:t>
            </w:r>
            <w:r w:rsidR="00A05D64" w:rsidRPr="00A05D64">
              <w:rPr>
                <w:rFonts w:hint="eastAsia"/>
              </w:rPr>
              <w:t>Matthew Berger</w:t>
            </w:r>
            <w:r w:rsidR="002A0C3D">
              <w:t>, Laura Robinson, John Shurts</w:t>
            </w:r>
            <w:r w:rsidR="00F45CD8">
              <w:t xml:space="preserve">, Scot </w:t>
            </w:r>
            <w:proofErr w:type="spellStart"/>
            <w:r w:rsidR="00F45CD8">
              <w:t>Soults</w:t>
            </w:r>
            <w:proofErr w:type="spellEnd"/>
          </w:p>
          <w:p w:rsidR="00A05D64" w:rsidRPr="00A05D64" w:rsidRDefault="00A05D64" w:rsidP="00A05D64">
            <w:pPr>
              <w:pStyle w:val="BodyCopy"/>
            </w:pPr>
          </w:p>
          <w:p w:rsidR="00A05D64" w:rsidRPr="00A05D64" w:rsidRDefault="00A05D64" w:rsidP="00A05D64">
            <w:pPr>
              <w:pStyle w:val="BodyCopy"/>
            </w:pPr>
          </w:p>
          <w:p w:rsidR="00A05D64" w:rsidRPr="00A05D64" w:rsidRDefault="00A05D64" w:rsidP="00A05D64">
            <w:pPr>
              <w:pStyle w:val="BodyCopy"/>
            </w:pPr>
          </w:p>
          <w:p w:rsidR="006E0E70" w:rsidRDefault="006E0E70" w:rsidP="00302DA6">
            <w:pPr>
              <w:pStyle w:val="BodyCopy"/>
            </w:pPr>
          </w:p>
        </w:tc>
      </w:tr>
      <w:tr w:rsidR="006E0E70" w:rsidTr="00D15639">
        <w:trPr>
          <w:trHeight w:hRule="exact" w:val="372"/>
          <w:jc w:val="center"/>
        </w:trPr>
        <w:tc>
          <w:tcPr>
            <w:tcW w:w="912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6E0E70" w:rsidRDefault="00950764" w:rsidP="002A0C3D">
            <w:pPr>
              <w:pStyle w:val="MinutesandAgendaTitles"/>
            </w:pPr>
            <w:r>
              <w:rPr>
                <w:rFonts w:eastAsia="Times New Roman"/>
                <w:color w:val="000000"/>
                <w:sz w:val="24"/>
              </w:rPr>
              <w:t>Approval of minutes from February 12</w:t>
            </w:r>
            <w:r w:rsidRPr="000F62DF">
              <w:rPr>
                <w:rFonts w:eastAsia="Times New Roman"/>
                <w:color w:val="000000"/>
                <w:sz w:val="24"/>
                <w:vertAlign w:val="superscript"/>
              </w:rPr>
              <w:t>th</w:t>
            </w:r>
            <w:r>
              <w:rPr>
                <w:rFonts w:eastAsia="Times New Roman"/>
                <w:color w:val="000000"/>
                <w:sz w:val="24"/>
              </w:rPr>
              <w:t xml:space="preserve"> </w:t>
            </w:r>
            <w:r w:rsidR="00E73327">
              <w:rPr>
                <w:rFonts w:eastAsia="Times New Roman"/>
                <w:color w:val="000000"/>
                <w:sz w:val="24"/>
              </w:rPr>
              <w:t>&amp; March 12</w:t>
            </w:r>
            <w:r w:rsidR="00E73327" w:rsidRPr="00E73327">
              <w:rPr>
                <w:rFonts w:eastAsia="Times New Roman"/>
                <w:color w:val="000000"/>
                <w:sz w:val="24"/>
                <w:vertAlign w:val="superscript"/>
              </w:rPr>
              <w:t>th</w:t>
            </w:r>
            <w:r w:rsidR="00E73327">
              <w:rPr>
                <w:rFonts w:eastAsia="Times New Roman"/>
                <w:color w:val="000000"/>
                <w:sz w:val="24"/>
              </w:rPr>
              <w:t xml:space="preserve"> </w:t>
            </w:r>
            <w:r>
              <w:rPr>
                <w:rFonts w:eastAsia="Times New Roman"/>
                <w:color w:val="000000"/>
                <w:sz w:val="24"/>
              </w:rPr>
              <w:t>Meeting</w:t>
            </w:r>
            <w:r w:rsidR="00E73327">
              <w:rPr>
                <w:rFonts w:eastAsia="Times New Roman"/>
                <w:color w:val="000000"/>
                <w:sz w:val="24"/>
              </w:rPr>
              <w:t>s</w:t>
            </w:r>
          </w:p>
        </w:tc>
      </w:tr>
      <w:tr w:rsidR="006E0E70" w:rsidTr="00D15639">
        <w:trPr>
          <w:trHeight w:hRule="exact" w:val="1015"/>
          <w:jc w:val="center"/>
        </w:trPr>
        <w:tc>
          <w:tcPr>
            <w:tcW w:w="17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B4503C">
            <w:pPr>
              <w:pStyle w:val="BodyCopy"/>
            </w:pPr>
            <w:r>
              <w:t>Discussion</w:t>
            </w:r>
          </w:p>
        </w:tc>
        <w:tc>
          <w:tcPr>
            <w:tcW w:w="734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E0E70" w:rsidRDefault="00E73327">
            <w:pPr>
              <w:pStyle w:val="BodyCopy"/>
            </w:pPr>
            <w:r>
              <w:t xml:space="preserve">The Committee </w:t>
            </w:r>
            <w:r w:rsidR="00C76EB0">
              <w:t>unanimously</w:t>
            </w:r>
            <w:r>
              <w:t xml:space="preserve"> approved the min</w:t>
            </w:r>
            <w:r w:rsidR="002A0C3D">
              <w:t>utes from the April Meeting</w:t>
            </w:r>
            <w:r w:rsidR="00C83764">
              <w:t xml:space="preserve">. </w:t>
            </w:r>
            <w:r>
              <w:t>The minutes are posted on the WAC website (</w:t>
            </w:r>
            <w:hyperlink r:id="rId9" w:history="1">
              <w:r w:rsidRPr="00890DEA">
                <w:rPr>
                  <w:rStyle w:val="Hyperlink"/>
                </w:rPr>
                <w:t>http://www.nwcouncil.org/fw/wac/</w:t>
              </w:r>
            </w:hyperlink>
            <w:r>
              <w:t xml:space="preserve">). </w:t>
            </w:r>
          </w:p>
        </w:tc>
      </w:tr>
      <w:tr w:rsidR="002A0C3D" w:rsidTr="00D15639">
        <w:trPr>
          <w:trHeight w:hRule="exact" w:val="372"/>
          <w:jc w:val="center"/>
        </w:trPr>
        <w:tc>
          <w:tcPr>
            <w:tcW w:w="912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2A0C3D" w:rsidRDefault="002A0C3D" w:rsidP="002A0C3D">
            <w:pPr>
              <w:pStyle w:val="MinutesandAgendaTitles"/>
            </w:pPr>
            <w:r>
              <w:rPr>
                <w:rFonts w:eastAsia="Times New Roman"/>
                <w:color w:val="000000"/>
                <w:sz w:val="24"/>
              </w:rPr>
              <w:t>Transmission Lines &amp; Other Council Issues</w:t>
            </w:r>
          </w:p>
        </w:tc>
      </w:tr>
      <w:tr w:rsidR="002A0C3D" w:rsidTr="00D15639">
        <w:trPr>
          <w:trHeight w:hRule="exact" w:val="372"/>
          <w:jc w:val="center"/>
        </w:trPr>
        <w:tc>
          <w:tcPr>
            <w:tcW w:w="912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2A0C3D" w:rsidRPr="00E73327" w:rsidRDefault="002A0C3D" w:rsidP="002A0C3D">
            <w:pPr>
              <w:pStyle w:val="MinutesandAgendaTitles"/>
              <w:rPr>
                <w:b w:val="0"/>
              </w:rPr>
            </w:pPr>
            <w:r>
              <w:rPr>
                <w:rFonts w:eastAsia="Times New Roman"/>
                <w:color w:val="000000"/>
                <w:sz w:val="24"/>
              </w:rPr>
              <w:t xml:space="preserve">                </w:t>
            </w:r>
            <w:r>
              <w:rPr>
                <w:rFonts w:eastAsia="Times New Roman"/>
                <w:color w:val="000000"/>
              </w:rPr>
              <w:t>John Shurts – General Counsel NPPC</w:t>
            </w:r>
          </w:p>
        </w:tc>
      </w:tr>
      <w:tr w:rsidR="002A0C3D" w:rsidTr="00D15639">
        <w:trPr>
          <w:trHeight w:hRule="exact" w:val="2639"/>
          <w:jc w:val="center"/>
        </w:trPr>
        <w:tc>
          <w:tcPr>
            <w:tcW w:w="17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2A0C3D" w:rsidP="002A0C3D">
            <w:pPr>
              <w:pStyle w:val="BodyCopy"/>
            </w:pPr>
            <w:r>
              <w:t>Discussion</w:t>
            </w:r>
          </w:p>
        </w:tc>
        <w:tc>
          <w:tcPr>
            <w:tcW w:w="734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C83764" w:rsidRDefault="002A0C3D" w:rsidP="002A0C3D">
            <w:pPr>
              <w:pStyle w:val="BodyCopy"/>
            </w:pPr>
            <w:r>
              <w:t xml:space="preserve">John Shurts, NPCC General Counsel, </w:t>
            </w:r>
            <w:r w:rsidR="00C3259A">
              <w:t>provided the committee with the history and background on how the Council has dealt with transmission lines as part of the Fish &amp; Wildlife Program and Power Plan</w:t>
            </w:r>
            <w:r w:rsidR="00C83764">
              <w:t xml:space="preserve">. </w:t>
            </w:r>
            <w:r w:rsidR="00C3259A">
              <w:t>He explained that in early iterations of the Fish &amp; Wildlife Program that the Council had recommended that transmission siting issues be resolved through MOUs developed between the individual states and Bonneville</w:t>
            </w:r>
            <w:r w:rsidR="00C83764">
              <w:t xml:space="preserve">. </w:t>
            </w:r>
            <w:r w:rsidR="00C3259A">
              <w:t>MOUs were developed and those will be circulated to WAC me</w:t>
            </w:r>
            <w:r w:rsidR="009460D9">
              <w:t>mbers and posted to the WAC website</w:t>
            </w:r>
            <w:r w:rsidR="00C83764">
              <w:t xml:space="preserve">. </w:t>
            </w:r>
            <w:r w:rsidR="009460D9">
              <w:t>John explained that in developing the new Power Plan that Council staff is analyzing environmental issues and impacts of resources quantifying costs and benefits. Although, the Council does not do planning for transmission lines there impacts are included when analyzing the costs and effects of new energy resources</w:t>
            </w:r>
            <w:r w:rsidR="00C83764">
              <w:t xml:space="preserve">. </w:t>
            </w:r>
            <w:r w:rsidR="009460D9">
              <w:t>John indicated that comments from the managers to the Council on their view of impacts and the current regulatory process would be welcome</w:t>
            </w:r>
            <w:r w:rsidR="00C83764">
              <w:t>.</w:t>
            </w:r>
          </w:p>
          <w:p w:rsidR="002A0C3D" w:rsidRDefault="002A0C3D" w:rsidP="002A0C3D">
            <w:pPr>
              <w:pStyle w:val="BodyCopy"/>
            </w:pPr>
          </w:p>
          <w:p w:rsidR="002A0C3D" w:rsidRDefault="002A0C3D" w:rsidP="002A0C3D">
            <w:pPr>
              <w:pStyle w:val="BodyCopy"/>
            </w:pPr>
          </w:p>
        </w:tc>
      </w:tr>
      <w:tr w:rsidR="002A0C3D" w:rsidTr="00D15639">
        <w:trPr>
          <w:trHeight w:hRule="exact" w:val="372"/>
          <w:jc w:val="center"/>
        </w:trPr>
        <w:tc>
          <w:tcPr>
            <w:tcW w:w="595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9460D9" w:rsidP="009460D9">
            <w:pPr>
              <w:pStyle w:val="BodyCopy"/>
            </w:pPr>
            <w:r>
              <w:t>Circulate MOUs to WAC members</w:t>
            </w:r>
          </w:p>
        </w:tc>
        <w:tc>
          <w:tcPr>
            <w:tcW w:w="185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2A0C3D" w:rsidP="002A0C3D">
            <w:pPr>
              <w:pStyle w:val="BodyCopy"/>
            </w:pPr>
            <w:r>
              <w:t>Peter Paquet</w:t>
            </w:r>
          </w:p>
        </w:tc>
        <w:tc>
          <w:tcPr>
            <w:tcW w:w="13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9460D9" w:rsidP="002A0C3D">
            <w:pPr>
              <w:pStyle w:val="BodyCopy"/>
            </w:pPr>
            <w:r>
              <w:t>5/9</w:t>
            </w:r>
            <w:r w:rsidR="002A0C3D">
              <w:t>/15</w:t>
            </w:r>
          </w:p>
        </w:tc>
      </w:tr>
      <w:tr w:rsidR="002A0C3D" w:rsidTr="00D15639">
        <w:trPr>
          <w:trHeight w:hRule="exact" w:val="372"/>
          <w:jc w:val="center"/>
        </w:trPr>
        <w:tc>
          <w:tcPr>
            <w:tcW w:w="595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F91613" w:rsidP="002A0C3D">
            <w:pPr>
              <w:pStyle w:val="BodyCopy"/>
            </w:pPr>
            <w:r>
              <w:t>MOUs will be posted to the WAC website</w:t>
            </w:r>
            <w:r w:rsidR="00C83764">
              <w:t xml:space="preserve">. </w:t>
            </w:r>
          </w:p>
        </w:tc>
        <w:tc>
          <w:tcPr>
            <w:tcW w:w="185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2A0C3D" w:rsidP="002A0C3D">
            <w:pPr>
              <w:pStyle w:val="BodyCopy"/>
            </w:pPr>
          </w:p>
        </w:tc>
        <w:tc>
          <w:tcPr>
            <w:tcW w:w="13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2A0C3D" w:rsidP="002A0C3D">
            <w:pPr>
              <w:pStyle w:val="BodyCopy"/>
            </w:pPr>
          </w:p>
        </w:tc>
      </w:tr>
      <w:tr w:rsidR="002A0C3D" w:rsidTr="00D15639">
        <w:trPr>
          <w:trHeight w:hRule="exact" w:val="372"/>
          <w:jc w:val="center"/>
        </w:trPr>
        <w:tc>
          <w:tcPr>
            <w:tcW w:w="912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2A0C3D" w:rsidRDefault="002A0C3D" w:rsidP="002A0C3D">
            <w:pPr>
              <w:pStyle w:val="MinutesandAgendaTitles"/>
              <w:rPr>
                <w:rFonts w:eastAsia="Times New Roman"/>
                <w:b w:val="0"/>
                <w:color w:val="000000"/>
                <w:sz w:val="24"/>
              </w:rPr>
            </w:pPr>
            <w:r>
              <w:rPr>
                <w:rFonts w:eastAsia="Times New Roman"/>
                <w:b w:val="0"/>
                <w:color w:val="000000"/>
                <w:sz w:val="24"/>
              </w:rPr>
              <w:t>Operational and Secondary Losses</w:t>
            </w:r>
            <w:r w:rsidR="00F676E7">
              <w:rPr>
                <w:rFonts w:eastAsia="Times New Roman"/>
                <w:b w:val="0"/>
                <w:color w:val="000000"/>
                <w:sz w:val="24"/>
              </w:rPr>
              <w:t xml:space="preserve"> – </w:t>
            </w:r>
            <w:r w:rsidR="00F676E7" w:rsidRPr="00F676E7">
              <w:rPr>
                <w:rFonts w:eastAsia="Times New Roman"/>
                <w:b w:val="0"/>
                <w:color w:val="000000"/>
                <w:szCs w:val="20"/>
              </w:rPr>
              <w:t>Prioritize options for Operational &amp; Secondary</w:t>
            </w:r>
            <w:r w:rsidR="00F676E7">
              <w:rPr>
                <w:rFonts w:eastAsia="Times New Roman"/>
                <w:b w:val="0"/>
                <w:color w:val="000000"/>
                <w:szCs w:val="20"/>
              </w:rPr>
              <w:t xml:space="preserve"> Losses</w:t>
            </w:r>
          </w:p>
          <w:p w:rsidR="002A0C3D" w:rsidRDefault="002A0C3D" w:rsidP="002A0C3D">
            <w:pPr>
              <w:pStyle w:val="MinutesandAgendaTitles"/>
            </w:pPr>
          </w:p>
          <w:tbl>
            <w:tblPr>
              <w:tblW w:w="0" w:type="auto"/>
              <w:tblInd w:w="14" w:type="dxa"/>
              <w:tblCellMar>
                <w:left w:w="0" w:type="dxa"/>
                <w:right w:w="0" w:type="dxa"/>
              </w:tblCellMar>
              <w:tblLook w:val="04A0" w:firstRow="1" w:lastRow="0" w:firstColumn="1" w:lastColumn="0" w:noHBand="0" w:noVBand="1"/>
            </w:tblPr>
            <w:tblGrid>
              <w:gridCol w:w="7294"/>
            </w:tblGrid>
            <w:tr w:rsidR="002A0C3D" w:rsidTr="00D15639">
              <w:trPr>
                <w:trHeight w:val="378"/>
              </w:trPr>
              <w:tc>
                <w:tcPr>
                  <w:tcW w:w="7294" w:type="dxa"/>
                  <w:tcBorders>
                    <w:top w:val="single" w:sz="6" w:space="0" w:color="000000"/>
                    <w:left w:val="single" w:sz="6" w:space="0" w:color="000000"/>
                    <w:bottom w:val="nil"/>
                    <w:right w:val="single" w:sz="6" w:space="0" w:color="000000"/>
                  </w:tcBorders>
                  <w:hideMark/>
                </w:tcPr>
                <w:p w:rsidR="002A0C3D" w:rsidRDefault="002A0C3D" w:rsidP="002A0C3D">
                  <w:pPr>
                    <w:spacing w:line="258" w:lineRule="exact"/>
                    <w:ind w:left="110"/>
                    <w:textAlignment w:val="baseline"/>
                    <w:rPr>
                      <w:rFonts w:eastAsia="Times New Roman"/>
                      <w:b/>
                      <w:color w:val="000000"/>
                      <w:spacing w:val="0"/>
                      <w:sz w:val="24"/>
                    </w:rPr>
                  </w:pPr>
                  <w:r>
                    <w:rPr>
                      <w:rFonts w:eastAsia="Times New Roman"/>
                      <w:b/>
                      <w:color w:val="000000"/>
                      <w:sz w:val="24"/>
                    </w:rPr>
                    <w:t>Operational and Secondary Losses Definitions</w:t>
                  </w:r>
                </w:p>
              </w:tc>
            </w:tr>
            <w:tr w:rsidR="002A0C3D" w:rsidTr="00D15639">
              <w:trPr>
                <w:trHeight w:val="459"/>
              </w:trPr>
              <w:tc>
                <w:tcPr>
                  <w:tcW w:w="7294" w:type="dxa"/>
                  <w:tcBorders>
                    <w:top w:val="nil"/>
                    <w:left w:val="single" w:sz="6" w:space="0" w:color="000000"/>
                    <w:bottom w:val="single" w:sz="6" w:space="0" w:color="000000"/>
                    <w:right w:val="single" w:sz="6" w:space="0" w:color="000000"/>
                  </w:tcBorders>
                  <w:hideMark/>
                </w:tcPr>
                <w:p w:rsidR="002A0C3D" w:rsidRDefault="002A0C3D" w:rsidP="002A0C3D">
                  <w:pPr>
                    <w:spacing w:before="44" w:after="26" w:line="275" w:lineRule="exact"/>
                    <w:textAlignment w:val="baseline"/>
                    <w:rPr>
                      <w:rFonts w:eastAsia="Times New Roman"/>
                      <w:color w:val="000000"/>
                      <w:sz w:val="24"/>
                    </w:rPr>
                  </w:pPr>
                  <w:r>
                    <w:rPr>
                      <w:rFonts w:eastAsia="Times New Roman"/>
                      <w:b/>
                      <w:color w:val="000000"/>
                      <w:sz w:val="24"/>
                    </w:rPr>
                    <w:t xml:space="preserve">                </w:t>
                  </w:r>
                  <w:r>
                    <w:rPr>
                      <w:rFonts w:eastAsia="Times New Roman"/>
                      <w:color w:val="000000"/>
                    </w:rPr>
                    <w:t>Feedback from presentation to Council F&amp;W Committee</w:t>
                  </w:r>
                </w:p>
              </w:tc>
            </w:tr>
          </w:tbl>
          <w:p w:rsidR="002A0C3D" w:rsidRDefault="002A0C3D" w:rsidP="002A0C3D">
            <w:pPr>
              <w:pStyle w:val="MinutesandAgendaTitles"/>
            </w:pPr>
          </w:p>
        </w:tc>
      </w:tr>
      <w:tr w:rsidR="002A0C3D" w:rsidTr="00D15639">
        <w:trPr>
          <w:trHeight w:hRule="exact" w:val="94"/>
          <w:jc w:val="center"/>
        </w:trPr>
        <w:tc>
          <w:tcPr>
            <w:tcW w:w="9129"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2A0C3D" w:rsidRPr="00B16A8F" w:rsidRDefault="002A0C3D" w:rsidP="002A0C3D">
            <w:pPr>
              <w:pStyle w:val="MinutesandAgendaTitles"/>
              <w:rPr>
                <w:sz w:val="18"/>
              </w:rPr>
            </w:pPr>
          </w:p>
        </w:tc>
      </w:tr>
      <w:tr w:rsidR="002A0C3D" w:rsidTr="00D15639">
        <w:trPr>
          <w:trHeight w:hRule="exact" w:val="1554"/>
          <w:jc w:val="center"/>
        </w:trPr>
        <w:tc>
          <w:tcPr>
            <w:tcW w:w="178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2A0C3D" w:rsidRDefault="002A0C3D" w:rsidP="002A0C3D">
            <w:pPr>
              <w:pStyle w:val="BodyCopy"/>
            </w:pPr>
            <w:r>
              <w:t>Discussion</w:t>
            </w:r>
          </w:p>
        </w:tc>
        <w:tc>
          <w:tcPr>
            <w:tcW w:w="7341"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DA5D61" w:rsidRDefault="00DA5D61" w:rsidP="002A0C3D">
            <w:pPr>
              <w:pStyle w:val="BodyCopy"/>
            </w:pPr>
          </w:p>
          <w:p w:rsidR="00C83764" w:rsidRDefault="00796D86" w:rsidP="002A0C3D">
            <w:pPr>
              <w:pStyle w:val="BodyCopy"/>
            </w:pPr>
            <w:r>
              <w:t xml:space="preserve">The chair presented an outline for </w:t>
            </w:r>
            <w:r w:rsidR="006D5D9D">
              <w:t>developing</w:t>
            </w:r>
            <w:r>
              <w:t xml:space="preserve"> options</w:t>
            </w:r>
            <w:r w:rsidR="002A0C3D">
              <w:t xml:space="preserve"> for making recommendations to the Council on how to address these losses in the future</w:t>
            </w:r>
            <w:r>
              <w:t xml:space="preserve">. (See </w:t>
            </w:r>
            <w:r w:rsidR="006D5D9D">
              <w:t>attachment</w:t>
            </w:r>
            <w:r>
              <w:t xml:space="preserve"> 1)</w:t>
            </w:r>
            <w:r w:rsidR="00C83764">
              <w:t>.</w:t>
            </w:r>
          </w:p>
          <w:p w:rsidR="002A0C3D" w:rsidRDefault="002A0C3D" w:rsidP="002A0C3D">
            <w:pPr>
              <w:pStyle w:val="BodyCopy"/>
            </w:pPr>
          </w:p>
          <w:p w:rsidR="00D15639" w:rsidRDefault="00D15639" w:rsidP="002A0C3D">
            <w:pPr>
              <w:pStyle w:val="BodyCopy"/>
            </w:pPr>
          </w:p>
          <w:p w:rsidR="00DA5D61" w:rsidRDefault="00796D86" w:rsidP="002A0C3D">
            <w:pPr>
              <w:pStyle w:val="BodyCopy"/>
            </w:pPr>
            <w:r>
              <w:t>There was a short discussion among the membe</w:t>
            </w:r>
            <w:r w:rsidR="00F45CD8">
              <w:t>rs and there appeared to be consensus that these were the general set of options to present to the Council</w:t>
            </w:r>
            <w:r w:rsidR="00C83764">
              <w:t xml:space="preserve">. </w:t>
            </w:r>
            <w:r w:rsidR="00F45CD8">
              <w:t>The Chair was tasked with providing a fleshed out version of the outline prior to the next meeting</w:t>
            </w:r>
          </w:p>
          <w:p w:rsidR="002A0C3D" w:rsidRDefault="00F45CD8" w:rsidP="002A0C3D">
            <w:pPr>
              <w:pStyle w:val="BodyCopy"/>
            </w:pPr>
            <w:r>
              <w:t>.</w:t>
            </w:r>
          </w:p>
          <w:p w:rsidR="00DA5D61" w:rsidRDefault="00DA5D61" w:rsidP="002A0C3D">
            <w:pPr>
              <w:pStyle w:val="BodyCopy"/>
            </w:pPr>
          </w:p>
          <w:p w:rsidR="002A0C3D" w:rsidRDefault="002A0C3D" w:rsidP="002A0C3D">
            <w:pPr>
              <w:pStyle w:val="BodyCopy"/>
            </w:pPr>
          </w:p>
        </w:tc>
      </w:tr>
    </w:tbl>
    <w:p w:rsidR="00A81C1C" w:rsidRDefault="00A81C1C"/>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49"/>
        <w:gridCol w:w="7179"/>
      </w:tblGrid>
      <w:tr w:rsidR="00F45CD8" w:rsidTr="00B37507">
        <w:trPr>
          <w:trHeight w:hRule="exact" w:val="288"/>
          <w:jc w:val="center"/>
        </w:trPr>
        <w:tc>
          <w:tcPr>
            <w:tcW w:w="892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F45CD8" w:rsidRDefault="00F45CD8" w:rsidP="00F45CD8">
            <w:pPr>
              <w:pStyle w:val="MinutesandAgendaTitles"/>
            </w:pPr>
            <w:r>
              <w:rPr>
                <w:rFonts w:eastAsia="Times New Roman"/>
                <w:b w:val="0"/>
                <w:color w:val="000000"/>
                <w:sz w:val="24"/>
              </w:rPr>
              <w:t>Other Issues</w:t>
            </w:r>
          </w:p>
        </w:tc>
      </w:tr>
      <w:tr w:rsidR="00F45CD8" w:rsidTr="00B37507">
        <w:trPr>
          <w:trHeight w:hRule="exact" w:val="288"/>
          <w:jc w:val="center"/>
        </w:trPr>
        <w:tc>
          <w:tcPr>
            <w:tcW w:w="892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rsidR="00F45CD8" w:rsidRPr="00B16A8F" w:rsidRDefault="00F45CD8" w:rsidP="00B37507">
            <w:pPr>
              <w:pStyle w:val="MinutesandAgendaTitles"/>
              <w:rPr>
                <w:sz w:val="18"/>
              </w:rPr>
            </w:pPr>
            <w:r>
              <w:rPr>
                <w:rFonts w:eastAsia="Garamond"/>
                <w:color w:val="000000"/>
                <w:sz w:val="18"/>
              </w:rPr>
              <w:t>HEP</w:t>
            </w:r>
          </w:p>
        </w:tc>
      </w:tr>
      <w:tr w:rsidR="00F45CD8" w:rsidTr="00B37507">
        <w:trPr>
          <w:trHeight w:hRule="exact" w:val="1198"/>
          <w:jc w:val="center"/>
        </w:trPr>
        <w:tc>
          <w:tcPr>
            <w:tcW w:w="17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45CD8" w:rsidRDefault="00F45CD8" w:rsidP="00B37507">
            <w:pPr>
              <w:pStyle w:val="BodyCopy"/>
            </w:pPr>
            <w:r>
              <w:t>Discussion</w:t>
            </w:r>
          </w:p>
        </w:tc>
        <w:tc>
          <w:tcPr>
            <w:tcW w:w="717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F45CD8" w:rsidRDefault="00F45CD8" w:rsidP="00B37507">
            <w:pPr>
              <w:pStyle w:val="BodyCopy"/>
            </w:pPr>
            <w:r>
              <w:t xml:space="preserve">Scot </w:t>
            </w:r>
            <w:proofErr w:type="spellStart"/>
            <w:r>
              <w:t>Soults</w:t>
            </w:r>
            <w:proofErr w:type="spellEnd"/>
            <w:r w:rsidR="00B833C1">
              <w:t xml:space="preserve"> stated that we needed to address the HEP issue and the future use of HEP sooner than later. There was an ensuing discussion of how do we evaluate wildlife mitigation projects absent HEP as the primary monitoring and evaluation tool.</w:t>
            </w:r>
          </w:p>
        </w:tc>
      </w:tr>
    </w:tbl>
    <w:p w:rsidR="00A81C1C" w:rsidRDefault="00A81C1C"/>
    <w:p w:rsidR="00D44195" w:rsidRDefault="00D44195">
      <w:r>
        <w:t xml:space="preserve">Attachment 1 </w:t>
      </w:r>
    </w:p>
    <w:p w:rsidR="00D44195" w:rsidRDefault="00D44195"/>
    <w:p w:rsidR="00F45CD8" w:rsidRDefault="00F45CD8" w:rsidP="00F45CD8">
      <w:pPr>
        <w:rPr>
          <w:b/>
        </w:rPr>
      </w:pPr>
      <w:r>
        <w:rPr>
          <w:b/>
        </w:rPr>
        <w:t xml:space="preserve">Draft Outline – Wildlife </w:t>
      </w:r>
      <w:r w:rsidR="006D5D9D">
        <w:rPr>
          <w:b/>
        </w:rPr>
        <w:t>Operational</w:t>
      </w:r>
      <w:r>
        <w:rPr>
          <w:b/>
        </w:rPr>
        <w:t xml:space="preserve"> and Secondary Losses Options</w:t>
      </w:r>
    </w:p>
    <w:p w:rsidR="00F45CD8" w:rsidRDefault="00F45CD8" w:rsidP="00F45CD8">
      <w:pPr>
        <w:rPr>
          <w:b/>
        </w:rPr>
      </w:pPr>
    </w:p>
    <w:p w:rsidR="00F45CD8" w:rsidRPr="00307C0F" w:rsidRDefault="00F45CD8" w:rsidP="00F45CD8">
      <w:pPr>
        <w:rPr>
          <w:b/>
        </w:rPr>
      </w:pPr>
      <w:r w:rsidRPr="00307C0F">
        <w:rPr>
          <w:b/>
        </w:rPr>
        <w:t>I. Program Direction</w:t>
      </w:r>
    </w:p>
    <w:p w:rsidR="00F45CD8" w:rsidRDefault="00F45CD8" w:rsidP="00F45CD8">
      <w:r>
        <w:t>1. Mitigation agreements should be considered to settle operational losses in lieu of precise assessments of impacts.</w:t>
      </w:r>
    </w:p>
    <w:p w:rsidR="00F45CD8" w:rsidRDefault="00F45CD8" w:rsidP="00F45CD8">
      <w:r>
        <w:t>2. The need for new methods to assess operational losses that incorporate the results of ongoing pilot projects. This could include technical testing and evaluation of operational loss models and methodologies, or other alternative habitat evaluation methods</w:t>
      </w:r>
    </w:p>
    <w:p w:rsidR="00F45CD8" w:rsidRPr="00307C0F" w:rsidRDefault="00F45CD8" w:rsidP="00F45CD8">
      <w:pPr>
        <w:rPr>
          <w:b/>
        </w:rPr>
      </w:pPr>
      <w:r w:rsidRPr="00307C0F">
        <w:rPr>
          <w:b/>
        </w:rPr>
        <w:t>II. Technical Approach</w:t>
      </w:r>
    </w:p>
    <w:p w:rsidR="00F45CD8" w:rsidRPr="00307C0F" w:rsidRDefault="00F45CD8" w:rsidP="00F45CD8">
      <w:pPr>
        <w:ind w:left="720"/>
        <w:rPr>
          <w:b/>
        </w:rPr>
      </w:pPr>
      <w:r w:rsidRPr="00307C0F">
        <w:rPr>
          <w:b/>
        </w:rPr>
        <w:t>A. Issues</w:t>
      </w:r>
    </w:p>
    <w:p w:rsidR="00F45CD8" w:rsidRDefault="00F45CD8" w:rsidP="00F45CD8">
      <w:pPr>
        <w:ind w:left="1440"/>
      </w:pPr>
      <w:r>
        <w:lastRenderedPageBreak/>
        <w:t>1. Timing</w:t>
      </w:r>
    </w:p>
    <w:p w:rsidR="00F45CD8" w:rsidRDefault="00F45CD8" w:rsidP="00F45CD8">
      <w:pPr>
        <w:ind w:left="1440"/>
      </w:pPr>
      <w:r>
        <w:t>2. Flathead</w:t>
      </w:r>
    </w:p>
    <w:p w:rsidR="00F45CD8" w:rsidRDefault="00F45CD8" w:rsidP="00F45CD8">
      <w:pPr>
        <w:ind w:left="1440"/>
      </w:pPr>
      <w:r>
        <w:t>3. 1 year bird data</w:t>
      </w:r>
    </w:p>
    <w:p w:rsidR="00F45CD8" w:rsidRDefault="00F45CD8" w:rsidP="00F45CD8">
      <w:pPr>
        <w:ind w:left="1440"/>
      </w:pPr>
      <w:r>
        <w:t>4. Transferability</w:t>
      </w:r>
    </w:p>
    <w:p w:rsidR="00F45CD8" w:rsidRDefault="00F45CD8" w:rsidP="00F45CD8">
      <w:pPr>
        <w:ind w:left="1440"/>
      </w:pPr>
      <w:r>
        <w:t>5. Other systems</w:t>
      </w:r>
    </w:p>
    <w:p w:rsidR="00F45CD8" w:rsidRDefault="00F45CD8" w:rsidP="00F45CD8">
      <w:pPr>
        <w:ind w:left="1440"/>
      </w:pPr>
      <w:r>
        <w:t>6. Other systems with bird data/hydrological data</w:t>
      </w:r>
    </w:p>
    <w:p w:rsidR="00F45CD8" w:rsidRDefault="00F45CD8" w:rsidP="00F45CD8">
      <w:pPr>
        <w:ind w:left="1440"/>
      </w:pPr>
      <w:r>
        <w:t>7. ID potential projects</w:t>
      </w:r>
    </w:p>
    <w:p w:rsidR="00F45CD8" w:rsidRDefault="00F45CD8" w:rsidP="00F45CD8">
      <w:pPr>
        <w:ind w:left="1440"/>
      </w:pPr>
      <w:r>
        <w:t>8. CHAP approach??</w:t>
      </w:r>
    </w:p>
    <w:p w:rsidR="00F45CD8" w:rsidRDefault="00F45CD8" w:rsidP="00F45CD8">
      <w:pPr>
        <w:ind w:left="1440"/>
      </w:pPr>
      <w:r>
        <w:t>9. Side by side comparison with IBI</w:t>
      </w:r>
    </w:p>
    <w:p w:rsidR="00F45CD8" w:rsidRDefault="00F45CD8" w:rsidP="00F45CD8">
      <w:pPr>
        <w:ind w:left="1440"/>
      </w:pPr>
      <w:r>
        <w:t>10. Can they be combined?</w:t>
      </w:r>
    </w:p>
    <w:p w:rsidR="00F45CD8" w:rsidRDefault="00F45CD8" w:rsidP="00F45CD8">
      <w:pPr>
        <w:ind w:left="1440"/>
      </w:pPr>
      <w:r>
        <w:t>11. Webinar</w:t>
      </w:r>
    </w:p>
    <w:p w:rsidR="00F45CD8" w:rsidRDefault="00F45CD8" w:rsidP="00F45CD8">
      <w:pPr>
        <w:ind w:left="1440"/>
      </w:pPr>
      <w:r>
        <w:t>12. How do you translate to mitigation?</w:t>
      </w:r>
    </w:p>
    <w:p w:rsidR="00F45CD8" w:rsidRDefault="00F45CD8" w:rsidP="00F45CD8">
      <w:pPr>
        <w:ind w:left="1440"/>
      </w:pPr>
      <w:r>
        <w:t>13. Currently working on how to do it</w:t>
      </w:r>
    </w:p>
    <w:p w:rsidR="00F45CD8" w:rsidRDefault="00F45CD8" w:rsidP="00F45CD8">
      <w:pPr>
        <w:ind w:left="1440"/>
      </w:pPr>
      <w:r>
        <w:t>14. Land ownership issues</w:t>
      </w:r>
    </w:p>
    <w:p w:rsidR="00F45CD8" w:rsidRDefault="00F45CD8" w:rsidP="00F45CD8">
      <w:pPr>
        <w:ind w:left="1440"/>
      </w:pPr>
      <w:r>
        <w:t>15. Relationship to fish mitigation</w:t>
      </w:r>
    </w:p>
    <w:p w:rsidR="00F45CD8" w:rsidRDefault="00F45CD8" w:rsidP="00F45CD8">
      <w:pPr>
        <w:ind w:left="1440"/>
      </w:pPr>
      <w:r>
        <w:t>16. Offsite mitigation</w:t>
      </w:r>
    </w:p>
    <w:p w:rsidR="00F45CD8" w:rsidRDefault="00F45CD8" w:rsidP="00F45CD8">
      <w:pPr>
        <w:ind w:left="1440"/>
      </w:pPr>
      <w:r>
        <w:t>17. Look at the entire system?</w:t>
      </w:r>
    </w:p>
    <w:p w:rsidR="00F45CD8" w:rsidRDefault="00F45CD8" w:rsidP="00F45CD8">
      <w:pPr>
        <w:ind w:left="1440"/>
      </w:pPr>
      <w:r>
        <w:t xml:space="preserve">18. RFP to characterize the </w:t>
      </w:r>
      <w:proofErr w:type="spellStart"/>
      <w:r>
        <w:t>hydrosystem</w:t>
      </w:r>
      <w:proofErr w:type="spellEnd"/>
    </w:p>
    <w:p w:rsidR="00F45CD8" w:rsidRDefault="00F45CD8" w:rsidP="00F45CD8">
      <w:pPr>
        <w:ind w:firstLine="720"/>
      </w:pPr>
      <w:r>
        <w:t>B. Pros</w:t>
      </w:r>
    </w:p>
    <w:p w:rsidR="00F45CD8" w:rsidRDefault="00F45CD8" w:rsidP="00F45CD8">
      <w:pPr>
        <w:ind w:left="720" w:firstLine="720"/>
      </w:pPr>
      <w:r>
        <w:t>1. (Reason and Score)</w:t>
      </w:r>
    </w:p>
    <w:p w:rsidR="00F45CD8" w:rsidRDefault="00F45CD8" w:rsidP="00F45CD8">
      <w:pPr>
        <w:ind w:left="720" w:firstLine="720"/>
      </w:pPr>
      <w:r>
        <w:t>2. Totals</w:t>
      </w:r>
    </w:p>
    <w:p w:rsidR="00F45CD8" w:rsidRDefault="00F45CD8" w:rsidP="00F45CD8">
      <w:pPr>
        <w:ind w:left="720"/>
      </w:pPr>
      <w:r>
        <w:t>C. Cons</w:t>
      </w:r>
    </w:p>
    <w:p w:rsidR="00F45CD8" w:rsidRDefault="00F45CD8" w:rsidP="00F45CD8">
      <w:pPr>
        <w:ind w:left="1440"/>
      </w:pPr>
      <w:r>
        <w:t>1. (Reason and Score)</w:t>
      </w:r>
    </w:p>
    <w:p w:rsidR="00F45CD8" w:rsidRDefault="00F45CD8" w:rsidP="00F45CD8">
      <w:pPr>
        <w:ind w:left="720" w:firstLine="720"/>
      </w:pPr>
      <w:r>
        <w:t>2. Total</w:t>
      </w:r>
    </w:p>
    <w:p w:rsidR="00F45CD8" w:rsidRPr="00307C0F" w:rsidRDefault="00F45CD8" w:rsidP="00F45CD8">
      <w:pPr>
        <w:rPr>
          <w:b/>
        </w:rPr>
      </w:pPr>
      <w:r w:rsidRPr="00307C0F">
        <w:rPr>
          <w:b/>
        </w:rPr>
        <w:t>III. Agreements</w:t>
      </w:r>
    </w:p>
    <w:p w:rsidR="00F45CD8" w:rsidRPr="00307C0F" w:rsidRDefault="00F45CD8" w:rsidP="00F45CD8">
      <w:pPr>
        <w:ind w:firstLine="720"/>
        <w:rPr>
          <w:b/>
        </w:rPr>
      </w:pPr>
      <w:r w:rsidRPr="00307C0F">
        <w:rPr>
          <w:b/>
        </w:rPr>
        <w:t>A. Issues</w:t>
      </w:r>
    </w:p>
    <w:p w:rsidR="00F45CD8" w:rsidRDefault="00F45CD8" w:rsidP="00F45CD8">
      <w:pPr>
        <w:ind w:left="1440"/>
      </w:pPr>
      <w:r>
        <w:t>1. Timing</w:t>
      </w:r>
    </w:p>
    <w:p w:rsidR="00F45CD8" w:rsidRDefault="00F45CD8" w:rsidP="00F45CD8">
      <w:pPr>
        <w:ind w:left="1440"/>
      </w:pPr>
      <w:r>
        <w:t>2. Financial Availability</w:t>
      </w:r>
    </w:p>
    <w:p w:rsidR="00F45CD8" w:rsidRDefault="00F45CD8" w:rsidP="00F45CD8">
      <w:pPr>
        <w:ind w:left="1440"/>
      </w:pPr>
      <w:r>
        <w:t>3. Relationship to fish mitigation</w:t>
      </w:r>
    </w:p>
    <w:p w:rsidR="00F45CD8" w:rsidRDefault="00F45CD8" w:rsidP="00F45CD8">
      <w:pPr>
        <w:ind w:left="1440"/>
      </w:pPr>
      <w:r>
        <w:t>4. Flexibility</w:t>
      </w:r>
    </w:p>
    <w:p w:rsidR="00F45CD8" w:rsidRDefault="00F45CD8" w:rsidP="00F45CD8">
      <w:pPr>
        <w:ind w:left="1440"/>
      </w:pPr>
      <w:r>
        <w:t>5. Lack of Assessment</w:t>
      </w:r>
    </w:p>
    <w:p w:rsidR="00F45CD8" w:rsidRPr="00307C0F" w:rsidRDefault="00F45CD8" w:rsidP="00F45CD8">
      <w:pPr>
        <w:ind w:firstLine="720"/>
        <w:rPr>
          <w:b/>
        </w:rPr>
      </w:pPr>
      <w:r w:rsidRPr="00307C0F">
        <w:rPr>
          <w:b/>
        </w:rPr>
        <w:t>B. Pros</w:t>
      </w:r>
    </w:p>
    <w:p w:rsidR="00F45CD8" w:rsidRDefault="00F45CD8" w:rsidP="00F45CD8">
      <w:pPr>
        <w:ind w:left="1440"/>
      </w:pPr>
      <w:r>
        <w:t>1. (Reason and Score)</w:t>
      </w:r>
    </w:p>
    <w:p w:rsidR="00F45CD8" w:rsidRDefault="00F45CD8" w:rsidP="00F45CD8">
      <w:pPr>
        <w:ind w:left="1440"/>
      </w:pPr>
      <w:r>
        <w:t>2. Totals</w:t>
      </w:r>
    </w:p>
    <w:p w:rsidR="00F45CD8" w:rsidRPr="00307C0F" w:rsidRDefault="00F45CD8" w:rsidP="00F45CD8">
      <w:pPr>
        <w:ind w:firstLine="720"/>
        <w:rPr>
          <w:b/>
        </w:rPr>
      </w:pPr>
      <w:r w:rsidRPr="00307C0F">
        <w:rPr>
          <w:b/>
        </w:rPr>
        <w:t>C. Cons</w:t>
      </w:r>
    </w:p>
    <w:p w:rsidR="00F45CD8" w:rsidRDefault="00F45CD8" w:rsidP="00F45CD8">
      <w:pPr>
        <w:ind w:left="1440"/>
      </w:pPr>
      <w:r>
        <w:t>1. (Reason and Score)</w:t>
      </w:r>
    </w:p>
    <w:p w:rsidR="00F45CD8" w:rsidRDefault="00F45CD8" w:rsidP="00F45CD8">
      <w:pPr>
        <w:ind w:left="1440"/>
      </w:pPr>
      <w:r>
        <w:t>2. Total</w:t>
      </w:r>
    </w:p>
    <w:p w:rsidR="00F45CD8" w:rsidRPr="00307C0F" w:rsidRDefault="00F45CD8" w:rsidP="00F45CD8">
      <w:pPr>
        <w:rPr>
          <w:b/>
        </w:rPr>
      </w:pPr>
      <w:r w:rsidRPr="00307C0F">
        <w:rPr>
          <w:b/>
        </w:rPr>
        <w:t>IV. Combination</w:t>
      </w:r>
    </w:p>
    <w:p w:rsidR="00F45CD8" w:rsidRPr="00307C0F" w:rsidRDefault="00F45CD8" w:rsidP="00F45CD8">
      <w:pPr>
        <w:rPr>
          <w:b/>
        </w:rPr>
      </w:pPr>
      <w:r w:rsidRPr="00307C0F">
        <w:rPr>
          <w:b/>
        </w:rPr>
        <w:t>A. Issues</w:t>
      </w:r>
      <w:bookmarkStart w:id="1" w:name="_GoBack"/>
      <w:bookmarkEnd w:id="1"/>
    </w:p>
    <w:p w:rsidR="00F45CD8" w:rsidRDefault="00F45CD8" w:rsidP="00F45CD8">
      <w:pPr>
        <w:ind w:left="720"/>
      </w:pPr>
      <w:r>
        <w:t>1. Timing</w:t>
      </w:r>
    </w:p>
    <w:p w:rsidR="00F45CD8" w:rsidRDefault="00F45CD8" w:rsidP="00F45CD8">
      <w:pPr>
        <w:ind w:left="720"/>
      </w:pPr>
      <w:r>
        <w:t>2. Financial Availability</w:t>
      </w:r>
    </w:p>
    <w:p w:rsidR="00F45CD8" w:rsidRDefault="00F45CD8" w:rsidP="00F45CD8">
      <w:pPr>
        <w:ind w:left="720"/>
      </w:pPr>
      <w:r>
        <w:t>3. Relationship to fish mitigation</w:t>
      </w:r>
    </w:p>
    <w:p w:rsidR="00F45CD8" w:rsidRDefault="00F45CD8" w:rsidP="00F45CD8">
      <w:pPr>
        <w:ind w:left="720"/>
      </w:pPr>
      <w:r>
        <w:t>4. Flexibility</w:t>
      </w:r>
    </w:p>
    <w:p w:rsidR="00F45CD8" w:rsidRPr="00307C0F" w:rsidRDefault="00F45CD8" w:rsidP="00F45CD8">
      <w:pPr>
        <w:rPr>
          <w:b/>
        </w:rPr>
      </w:pPr>
      <w:r w:rsidRPr="00307C0F">
        <w:rPr>
          <w:b/>
        </w:rPr>
        <w:t>B. Pros</w:t>
      </w:r>
    </w:p>
    <w:p w:rsidR="00F45CD8" w:rsidRDefault="00F45CD8" w:rsidP="00F45CD8">
      <w:pPr>
        <w:ind w:left="720"/>
      </w:pPr>
      <w:r>
        <w:t>1. (Reason and Score)</w:t>
      </w:r>
    </w:p>
    <w:p w:rsidR="00F45CD8" w:rsidRDefault="00F45CD8" w:rsidP="00F45CD8">
      <w:pPr>
        <w:ind w:left="720"/>
      </w:pPr>
      <w:r>
        <w:t>2. Totals</w:t>
      </w:r>
    </w:p>
    <w:p w:rsidR="00F45CD8" w:rsidRPr="00307C0F" w:rsidRDefault="00F45CD8" w:rsidP="00F45CD8">
      <w:pPr>
        <w:rPr>
          <w:b/>
        </w:rPr>
      </w:pPr>
      <w:r w:rsidRPr="00307C0F">
        <w:rPr>
          <w:b/>
        </w:rPr>
        <w:t>C. Cons</w:t>
      </w:r>
    </w:p>
    <w:p w:rsidR="00F45CD8" w:rsidRDefault="00F45CD8" w:rsidP="00F45CD8">
      <w:pPr>
        <w:ind w:left="720"/>
      </w:pPr>
      <w:r>
        <w:t>1. (Reason and Score)</w:t>
      </w:r>
    </w:p>
    <w:p w:rsidR="00F45CD8" w:rsidRDefault="00F45CD8" w:rsidP="00F45CD8">
      <w:pPr>
        <w:ind w:left="720"/>
      </w:pPr>
      <w:r>
        <w:t>2. Total</w:t>
      </w:r>
    </w:p>
    <w:p w:rsidR="00F45CD8" w:rsidRPr="00307C0F" w:rsidRDefault="00F45CD8" w:rsidP="00F45CD8">
      <w:pPr>
        <w:rPr>
          <w:b/>
        </w:rPr>
      </w:pPr>
      <w:r w:rsidRPr="00307C0F">
        <w:rPr>
          <w:b/>
        </w:rPr>
        <w:t>VI. Decision</w:t>
      </w:r>
    </w:p>
    <w:p w:rsidR="00F45CD8" w:rsidRPr="00307C0F" w:rsidRDefault="00F45CD8" w:rsidP="00F45CD8">
      <w:pPr>
        <w:rPr>
          <w:b/>
        </w:rPr>
      </w:pPr>
      <w:r w:rsidRPr="00307C0F">
        <w:rPr>
          <w:b/>
        </w:rPr>
        <w:t>A. Final</w:t>
      </w:r>
    </w:p>
    <w:p w:rsidR="005B0F93" w:rsidRPr="005B0F93" w:rsidRDefault="005B0F93" w:rsidP="005B0F93">
      <w:pPr>
        <w:rPr>
          <w:rFonts w:ascii="Times New Roman" w:hAnsi="Times New Roman" w:cs="Times New Roman"/>
          <w:sz w:val="12"/>
        </w:rPr>
      </w:pPr>
      <w:bookmarkStart w:id="2" w:name="Tagg"/>
      <w:bookmarkEnd w:id="2"/>
    </w:p>
    <w:sectPr w:rsidR="005B0F93" w:rsidRPr="005B0F93" w:rsidSect="006E0E7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A4" w:rsidRDefault="00B26AA4">
      <w:r>
        <w:separator/>
      </w:r>
    </w:p>
  </w:endnote>
  <w:endnote w:type="continuationSeparator" w:id="0">
    <w:p w:rsidR="00B26AA4" w:rsidRDefault="00B2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A4" w:rsidRDefault="00B26AA4">
      <w:r>
        <w:separator/>
      </w:r>
    </w:p>
  </w:footnote>
  <w:footnote w:type="continuationSeparator" w:id="0">
    <w:p w:rsidR="00B26AA4" w:rsidRDefault="00B26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70" w:rsidRPr="00D44195" w:rsidRDefault="0080239B">
    <w:pPr>
      <w:pStyle w:val="MeetingMinutesHeading"/>
      <w:rPr>
        <w:b/>
        <w:sz w:val="32"/>
      </w:rPr>
    </w:pPr>
    <w:r>
      <w:rPr>
        <w:b/>
        <w:sz w:val="32"/>
      </w:rPr>
      <w:t xml:space="preserve">Draft </w:t>
    </w:r>
    <w:sdt>
      <w:sdtPr>
        <w:rPr>
          <w:b/>
          <w:sz w:val="32"/>
        </w:rPr>
        <w:id w:val="-1384625930"/>
        <w:docPartObj>
          <w:docPartGallery w:val="Watermarks"/>
          <w:docPartUnique/>
        </w:docPartObj>
      </w:sdtPr>
      <w:sdtEndPr/>
      <w:sdtContent>
        <w:r w:rsidR="00B26AA4">
          <w:rPr>
            <w:b/>
            <w:noProof/>
            <w:sz w:val="32"/>
          </w:rPr>
          <w:pict w14:anchorId="75FA7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44195" w:rsidRPr="00D44195">
      <w:rPr>
        <w:b/>
        <w:sz w:val="32"/>
      </w:rPr>
      <w:t>Wild</w:t>
    </w:r>
    <w:r w:rsidR="001137BA">
      <w:rPr>
        <w:b/>
        <w:sz w:val="32"/>
      </w:rPr>
      <w:t>life Advisory Committee April 9</w:t>
    </w:r>
    <w:r w:rsidR="00D44195" w:rsidRPr="00D44195">
      <w:rPr>
        <w:b/>
        <w:sz w:val="32"/>
        <w:vertAlign w:val="superscript"/>
      </w:rPr>
      <w:t>th</w:t>
    </w:r>
    <w:r w:rsidR="00D44195" w:rsidRPr="00D44195">
      <w:rPr>
        <w:b/>
        <w:sz w:val="32"/>
      </w:rPr>
      <w:t xml:space="preserve"> 2015 Meeting M</w:t>
    </w:r>
    <w:r w:rsidR="00B4503C" w:rsidRPr="00D44195">
      <w:rPr>
        <w:b/>
        <w:sz w:val="32"/>
      </w:rPr>
      <w:t>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150A2B6"/>
    <w:lvl w:ilvl="0">
      <w:start w:val="1"/>
      <w:numFmt w:val="decimal"/>
      <w:lvlText w:val="%1."/>
      <w:lvlJc w:val="left"/>
      <w:pPr>
        <w:tabs>
          <w:tab w:val="num" w:pos="720"/>
        </w:tabs>
        <w:ind w:left="720" w:hanging="360"/>
      </w:pPr>
    </w:lvl>
  </w:abstractNum>
  <w:abstractNum w:abstractNumId="1">
    <w:nsid w:val="FFFFFF83"/>
    <w:multiLevelType w:val="singleLevel"/>
    <w:tmpl w:val="7C985014"/>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05A4BE2"/>
    <w:lvl w:ilvl="0">
      <w:start w:val="1"/>
      <w:numFmt w:val="decimal"/>
      <w:lvlText w:val="%1."/>
      <w:lvlJc w:val="left"/>
      <w:pPr>
        <w:tabs>
          <w:tab w:val="num" w:pos="360"/>
        </w:tabs>
        <w:ind w:left="360" w:hanging="360"/>
      </w:pPr>
    </w:lvl>
  </w:abstractNum>
  <w:abstractNum w:abstractNumId="3">
    <w:nsid w:val="FFFFFF89"/>
    <w:multiLevelType w:val="singleLevel"/>
    <w:tmpl w:val="9626D432"/>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64"/>
    <w:rsid w:val="000454C4"/>
    <w:rsid w:val="000A0B9F"/>
    <w:rsid w:val="000F0FC7"/>
    <w:rsid w:val="001137BA"/>
    <w:rsid w:val="00122A0E"/>
    <w:rsid w:val="0018514B"/>
    <w:rsid w:val="002610CE"/>
    <w:rsid w:val="00272D0E"/>
    <w:rsid w:val="002A0C3D"/>
    <w:rsid w:val="00302DA6"/>
    <w:rsid w:val="00313223"/>
    <w:rsid w:val="004409B6"/>
    <w:rsid w:val="00481C82"/>
    <w:rsid w:val="004D1544"/>
    <w:rsid w:val="0053022C"/>
    <w:rsid w:val="005B0F93"/>
    <w:rsid w:val="006C2774"/>
    <w:rsid w:val="006D5D9D"/>
    <w:rsid w:val="006E0E70"/>
    <w:rsid w:val="006E2E83"/>
    <w:rsid w:val="00796D86"/>
    <w:rsid w:val="007E1DD6"/>
    <w:rsid w:val="007E7118"/>
    <w:rsid w:val="0080239B"/>
    <w:rsid w:val="00923068"/>
    <w:rsid w:val="009460D9"/>
    <w:rsid w:val="00950764"/>
    <w:rsid w:val="009737C2"/>
    <w:rsid w:val="0098493A"/>
    <w:rsid w:val="00A05D64"/>
    <w:rsid w:val="00A81C1C"/>
    <w:rsid w:val="00B16A8F"/>
    <w:rsid w:val="00B26AA4"/>
    <w:rsid w:val="00B4503C"/>
    <w:rsid w:val="00B833C1"/>
    <w:rsid w:val="00BC1885"/>
    <w:rsid w:val="00C3259A"/>
    <w:rsid w:val="00C76EB0"/>
    <w:rsid w:val="00C83764"/>
    <w:rsid w:val="00D15639"/>
    <w:rsid w:val="00D44195"/>
    <w:rsid w:val="00DA5D61"/>
    <w:rsid w:val="00DA6495"/>
    <w:rsid w:val="00E73327"/>
    <w:rsid w:val="00E87CFF"/>
    <w:rsid w:val="00F45CD8"/>
    <w:rsid w:val="00F676E7"/>
    <w:rsid w:val="00F9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docId w15:val="{9DF88E3E-4BE8-477A-9739-95590ED2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Hyperlink">
    <w:name w:val="Hyperlink"/>
    <w:basedOn w:val="DefaultParagraphFont"/>
    <w:uiPriority w:val="99"/>
    <w:unhideWhenUsed/>
    <w:rsid w:val="00E73327"/>
    <w:rPr>
      <w:color w:val="0000FF" w:themeColor="hyperlink"/>
      <w:u w:val="single"/>
    </w:rPr>
  </w:style>
  <w:style w:type="character" w:styleId="FollowedHyperlink">
    <w:name w:val="FollowedHyperlink"/>
    <w:basedOn w:val="DefaultParagraphFont"/>
    <w:uiPriority w:val="99"/>
    <w:semiHidden/>
    <w:unhideWhenUsed/>
    <w:rsid w:val="00923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90822">
      <w:bodyDiv w:val="1"/>
      <w:marLeft w:val="0"/>
      <w:marRight w:val="0"/>
      <w:marTop w:val="0"/>
      <w:marBottom w:val="0"/>
      <w:divBdr>
        <w:top w:val="none" w:sz="0" w:space="0" w:color="auto"/>
        <w:left w:val="none" w:sz="0" w:space="0" w:color="auto"/>
        <w:bottom w:val="none" w:sz="0" w:space="0" w:color="auto"/>
        <w:right w:val="none" w:sz="0" w:space="0" w:color="auto"/>
      </w:divBdr>
    </w:div>
    <w:div w:id="662973392">
      <w:bodyDiv w:val="1"/>
      <w:marLeft w:val="0"/>
      <w:marRight w:val="0"/>
      <w:marTop w:val="0"/>
      <w:marBottom w:val="0"/>
      <w:divBdr>
        <w:top w:val="none" w:sz="0" w:space="0" w:color="auto"/>
        <w:left w:val="none" w:sz="0" w:space="0" w:color="auto"/>
        <w:bottom w:val="none" w:sz="0" w:space="0" w:color="auto"/>
        <w:right w:val="none" w:sz="0" w:space="0" w:color="auto"/>
      </w:divBdr>
    </w:div>
    <w:div w:id="724987919">
      <w:bodyDiv w:val="1"/>
      <w:marLeft w:val="0"/>
      <w:marRight w:val="0"/>
      <w:marTop w:val="0"/>
      <w:marBottom w:val="0"/>
      <w:divBdr>
        <w:top w:val="none" w:sz="0" w:space="0" w:color="auto"/>
        <w:left w:val="none" w:sz="0" w:space="0" w:color="auto"/>
        <w:bottom w:val="none" w:sz="0" w:space="0" w:color="auto"/>
        <w:right w:val="none" w:sz="0" w:space="0" w:color="auto"/>
      </w:divBdr>
    </w:div>
    <w:div w:id="877938074">
      <w:bodyDiv w:val="1"/>
      <w:marLeft w:val="0"/>
      <w:marRight w:val="0"/>
      <w:marTop w:val="0"/>
      <w:marBottom w:val="0"/>
      <w:divBdr>
        <w:top w:val="none" w:sz="0" w:space="0" w:color="auto"/>
        <w:left w:val="none" w:sz="0" w:space="0" w:color="auto"/>
        <w:bottom w:val="none" w:sz="0" w:space="0" w:color="auto"/>
        <w:right w:val="none" w:sz="0" w:space="0" w:color="auto"/>
      </w:divBdr>
    </w:div>
    <w:div w:id="1126386933">
      <w:bodyDiv w:val="1"/>
      <w:marLeft w:val="0"/>
      <w:marRight w:val="0"/>
      <w:marTop w:val="0"/>
      <w:marBottom w:val="0"/>
      <w:divBdr>
        <w:top w:val="none" w:sz="0" w:space="0" w:color="auto"/>
        <w:left w:val="none" w:sz="0" w:space="0" w:color="auto"/>
        <w:bottom w:val="none" w:sz="0" w:space="0" w:color="auto"/>
        <w:right w:val="none" w:sz="0" w:space="0" w:color="auto"/>
      </w:divBdr>
    </w:div>
    <w:div w:id="1658000752">
      <w:bodyDiv w:val="1"/>
      <w:marLeft w:val="0"/>
      <w:marRight w:val="0"/>
      <w:marTop w:val="0"/>
      <w:marBottom w:val="0"/>
      <w:divBdr>
        <w:top w:val="none" w:sz="0" w:space="0" w:color="auto"/>
        <w:left w:val="none" w:sz="0" w:space="0" w:color="auto"/>
        <w:bottom w:val="none" w:sz="0" w:space="0" w:color="auto"/>
        <w:right w:val="none" w:sz="0" w:space="0" w:color="auto"/>
      </w:divBdr>
    </w:div>
    <w:div w:id="20124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wcouncil.org/fw/w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ncilvisitor\AppData\Roaming\Microsoft\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901E9DD7024D289C400AA91093BFAE"/>
        <w:category>
          <w:name w:val="General"/>
          <w:gallery w:val="placeholder"/>
        </w:category>
        <w:types>
          <w:type w:val="bbPlcHdr"/>
        </w:types>
        <w:behaviors>
          <w:behavior w:val="content"/>
        </w:behaviors>
        <w:guid w:val="{F3BC98EA-C7DA-4D73-8087-B9625D74493A}"/>
      </w:docPartPr>
      <w:docPartBody>
        <w:p w:rsidR="002536C1" w:rsidRDefault="00E83841">
          <w:pPr>
            <w:pStyle w:val="7A901E9DD7024D289C400AA91093BFAE"/>
          </w:pPr>
          <w:r>
            <w:t>[Meeting Title]</w:t>
          </w:r>
        </w:p>
      </w:docPartBody>
    </w:docPart>
    <w:docPart>
      <w:docPartPr>
        <w:name w:val="77521F5147D84B5D9939E731D973721B"/>
        <w:category>
          <w:name w:val="General"/>
          <w:gallery w:val="placeholder"/>
        </w:category>
        <w:types>
          <w:type w:val="bbPlcHdr"/>
        </w:types>
        <w:behaviors>
          <w:behavior w:val="content"/>
        </w:behaviors>
        <w:guid w:val="{F0E5CD98-E162-4F24-A10D-372BA75D3446}"/>
      </w:docPartPr>
      <w:docPartBody>
        <w:p w:rsidR="002536C1" w:rsidRDefault="00E83841">
          <w:pPr>
            <w:pStyle w:val="77521F5147D84B5D9939E731D973721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C1"/>
    <w:rsid w:val="001E2CB5"/>
    <w:rsid w:val="002536C1"/>
    <w:rsid w:val="00514257"/>
    <w:rsid w:val="0066581D"/>
    <w:rsid w:val="00E8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901E9DD7024D289C400AA91093BFAE">
    <w:name w:val="7A901E9DD7024D289C400AA91093BFAE"/>
  </w:style>
  <w:style w:type="paragraph" w:customStyle="1" w:styleId="77521F5147D84B5D9939E731D973721B">
    <w:name w:val="77521F5147D84B5D9939E731D973721B"/>
  </w:style>
  <w:style w:type="paragraph" w:customStyle="1" w:styleId="C8D20BE73478414494F19EEC4F1C4104">
    <w:name w:val="C8D20BE73478414494F19EEC4F1C4104"/>
  </w:style>
  <w:style w:type="paragraph" w:customStyle="1" w:styleId="B16B919E5D654321ADF9A026397F6629">
    <w:name w:val="B16B919E5D654321ADF9A026397F6629"/>
  </w:style>
  <w:style w:type="character" w:styleId="PlaceholderText">
    <w:name w:val="Placeholder Text"/>
    <w:basedOn w:val="DefaultParagraphFont"/>
    <w:uiPriority w:val="99"/>
    <w:semiHidden/>
    <w:rsid w:val="001E2CB5"/>
    <w:rPr>
      <w:color w:val="808080"/>
    </w:rPr>
  </w:style>
  <w:style w:type="paragraph" w:customStyle="1" w:styleId="E4B3ECD530954BCABFE935AFE2A0915D">
    <w:name w:val="E4B3ECD530954BCABFE935AFE2A0915D"/>
  </w:style>
  <w:style w:type="paragraph" w:customStyle="1" w:styleId="71F406E7949A45B989549AB0DEDD9539">
    <w:name w:val="71F406E7949A45B989549AB0DEDD9539"/>
  </w:style>
  <w:style w:type="paragraph" w:customStyle="1" w:styleId="16A41267B33A4A8A9D89F17F01496839">
    <w:name w:val="16A41267B33A4A8A9D89F17F01496839"/>
  </w:style>
  <w:style w:type="paragraph" w:customStyle="1" w:styleId="902CF14720304C63BECA10AD150E5636">
    <w:name w:val="902CF14720304C63BECA10AD150E5636"/>
  </w:style>
  <w:style w:type="paragraph" w:customStyle="1" w:styleId="DFC3C1C4A71D4BE9BC160D250A5633E9">
    <w:name w:val="DFC3C1C4A71D4BE9BC160D250A5633E9"/>
  </w:style>
  <w:style w:type="paragraph" w:customStyle="1" w:styleId="88E1A499D8944C0F8A592AF5110C5CDC">
    <w:name w:val="88E1A499D8944C0F8A592AF5110C5CDC"/>
  </w:style>
  <w:style w:type="paragraph" w:customStyle="1" w:styleId="72745A3FB6FB4E0593C95314F2F7B08F">
    <w:name w:val="72745A3FB6FB4E0593C95314F2F7B08F"/>
  </w:style>
  <w:style w:type="paragraph" w:customStyle="1" w:styleId="7E5B7DD1001E43D2BC3257FD400F6409">
    <w:name w:val="7E5B7DD1001E43D2BC3257FD400F6409"/>
  </w:style>
  <w:style w:type="paragraph" w:customStyle="1" w:styleId="5494F4A9738C45768307FF214053B757">
    <w:name w:val="5494F4A9738C45768307FF214053B757"/>
  </w:style>
  <w:style w:type="paragraph" w:customStyle="1" w:styleId="C61CBBF8D81E4097AE625745DE008F21">
    <w:name w:val="C61CBBF8D81E4097AE625745DE008F21"/>
  </w:style>
  <w:style w:type="paragraph" w:customStyle="1" w:styleId="1D09653FD0384BE5A39573FA23B1BB90">
    <w:name w:val="1D09653FD0384BE5A39573FA23B1BB90"/>
  </w:style>
  <w:style w:type="paragraph" w:customStyle="1" w:styleId="D29DA79578BE492BBC594185CE403262">
    <w:name w:val="D29DA79578BE492BBC594185CE403262"/>
    <w:rsid w:val="002536C1"/>
  </w:style>
  <w:style w:type="paragraph" w:customStyle="1" w:styleId="B7F1CD2393064FFBBEAA5994E44BBB96">
    <w:name w:val="B7F1CD2393064FFBBEAA5994E44BBB96"/>
    <w:rsid w:val="002536C1"/>
  </w:style>
  <w:style w:type="paragraph" w:customStyle="1" w:styleId="492377FDF1A543AABC0156873942E908">
    <w:name w:val="492377FDF1A543AABC0156873942E908"/>
    <w:rsid w:val="002536C1"/>
  </w:style>
  <w:style w:type="paragraph" w:customStyle="1" w:styleId="142337110486409DB0B0C3FF465C3627">
    <w:name w:val="142337110486409DB0B0C3FF465C3627"/>
    <w:rsid w:val="002536C1"/>
  </w:style>
  <w:style w:type="paragraph" w:customStyle="1" w:styleId="7526F80BF1C743BB8376E457FB7FBEBA">
    <w:name w:val="7526F80BF1C743BB8376E457FB7FBEBA"/>
    <w:rsid w:val="001E2CB5"/>
  </w:style>
  <w:style w:type="paragraph" w:customStyle="1" w:styleId="D1AE56188B7649D4A8A2C370A60413EA">
    <w:name w:val="D1AE56188B7649D4A8A2C370A60413EA"/>
    <w:rsid w:val="001E2CB5"/>
  </w:style>
  <w:style w:type="paragraph" w:customStyle="1" w:styleId="020D65308B994EE4A99C0603BD0BC61E">
    <w:name w:val="020D65308B994EE4A99C0603BD0BC61E"/>
    <w:rsid w:val="001E2CB5"/>
  </w:style>
  <w:style w:type="paragraph" w:customStyle="1" w:styleId="9F92D2B7121C4119BA2C5DA5FF08710B">
    <w:name w:val="9F92D2B7121C4119BA2C5DA5FF08710B"/>
    <w:rsid w:val="001E2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minutes.dotx</Template>
  <TotalTime>11</TotalTime>
  <Pages>1</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Peter  Paquet</dc:creator>
  <cp:keywords/>
  <cp:lastModifiedBy>Kendra Coles</cp:lastModifiedBy>
  <cp:revision>14</cp:revision>
  <cp:lastPrinted>2006-08-01T17:47:00Z</cp:lastPrinted>
  <dcterms:created xsi:type="dcterms:W3CDTF">2015-05-18T17:41:00Z</dcterms:created>
  <dcterms:modified xsi:type="dcterms:W3CDTF">2015-05-18T17:53:00Z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