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9E" w:rsidRDefault="00B8759E"/>
    <w:p w:rsidR="00B8759E" w:rsidRPr="00B67ADE" w:rsidRDefault="00B67ADE" w:rsidP="00B67ADE">
      <w:pPr>
        <w:pStyle w:val="NoSpacing"/>
        <w:jc w:val="center"/>
        <w:rPr>
          <w:rFonts w:ascii="Times New Roman" w:hAnsi="Times New Roman" w:cs="Times New Roman"/>
          <w:b/>
        </w:rPr>
      </w:pPr>
      <w:r w:rsidRPr="00B67ADE">
        <w:rPr>
          <w:rFonts w:ascii="Times New Roman" w:hAnsi="Times New Roman" w:cs="Times New Roman"/>
          <w:b/>
        </w:rPr>
        <w:t>Wildlife Advisory Committee</w:t>
      </w:r>
    </w:p>
    <w:p w:rsidR="00B67ADE" w:rsidRPr="00B67ADE" w:rsidRDefault="00B67ADE" w:rsidP="00B67ADE">
      <w:pPr>
        <w:pStyle w:val="NoSpacing"/>
        <w:jc w:val="center"/>
        <w:rPr>
          <w:rFonts w:ascii="Times New Roman" w:hAnsi="Times New Roman" w:cs="Times New Roman"/>
          <w:b/>
        </w:rPr>
      </w:pPr>
      <w:r w:rsidRPr="00B67ADE">
        <w:rPr>
          <w:rFonts w:ascii="Times New Roman" w:hAnsi="Times New Roman" w:cs="Times New Roman"/>
          <w:b/>
        </w:rPr>
        <w:t>HEP Subcommittee</w:t>
      </w:r>
    </w:p>
    <w:p w:rsidR="00B67ADE" w:rsidRPr="00B67ADE" w:rsidRDefault="00B67ADE" w:rsidP="00B67ADE">
      <w:pPr>
        <w:pStyle w:val="NoSpacing"/>
        <w:jc w:val="center"/>
        <w:rPr>
          <w:rFonts w:ascii="Times New Roman" w:hAnsi="Times New Roman" w:cs="Times New Roman"/>
          <w:b/>
        </w:rPr>
      </w:pPr>
      <w:r w:rsidRPr="00B67ADE">
        <w:rPr>
          <w:rFonts w:ascii="Times New Roman" w:hAnsi="Times New Roman" w:cs="Times New Roman"/>
          <w:b/>
        </w:rPr>
        <w:t>May, 28, 2014</w:t>
      </w:r>
    </w:p>
    <w:p w:rsidR="00B67ADE" w:rsidRPr="00B67ADE" w:rsidRDefault="00B67ADE" w:rsidP="00B67ADE">
      <w:pPr>
        <w:pStyle w:val="NoSpacing"/>
        <w:jc w:val="center"/>
        <w:rPr>
          <w:rFonts w:ascii="Times New Roman" w:hAnsi="Times New Roman" w:cs="Times New Roman"/>
          <w:b/>
        </w:rPr>
      </w:pPr>
      <w:r w:rsidRPr="00B67ADE">
        <w:rPr>
          <w:rFonts w:ascii="Times New Roman" w:hAnsi="Times New Roman" w:cs="Times New Roman"/>
          <w:b/>
        </w:rPr>
        <w:t>Spokane, WA</w:t>
      </w:r>
    </w:p>
    <w:p w:rsidR="00B8759E" w:rsidRDefault="00B8759E"/>
    <w:p w:rsidR="00B8759E" w:rsidRPr="00B67ADE" w:rsidRDefault="00B67ADE" w:rsidP="00B67ADE">
      <w:pPr>
        <w:jc w:val="center"/>
        <w:rPr>
          <w:rFonts w:ascii="Times New Roman" w:hAnsi="Times New Roman" w:cs="Times New Roman"/>
          <w:b/>
          <w:u w:val="single"/>
        </w:rPr>
      </w:pPr>
      <w:r w:rsidRPr="00B67ADE">
        <w:rPr>
          <w:rFonts w:ascii="Times New Roman" w:hAnsi="Times New Roman" w:cs="Times New Roman"/>
          <w:b/>
          <w:u w:val="single"/>
        </w:rPr>
        <w:t>DRAFT Meeting Notes</w:t>
      </w:r>
    </w:p>
    <w:p w:rsidR="00151E2B" w:rsidRDefault="00B67ADE" w:rsidP="00151E2B">
      <w:pPr>
        <w:pStyle w:val="NoSpacing"/>
        <w:ind w:left="1440" w:hanging="1440"/>
        <w:rPr>
          <w:rFonts w:ascii="Times New Roman" w:hAnsi="Times New Roman" w:cs="Times New Roman"/>
        </w:rPr>
      </w:pPr>
      <w:r w:rsidRPr="00B67ADE">
        <w:rPr>
          <w:rFonts w:ascii="Times New Roman" w:hAnsi="Times New Roman" w:cs="Times New Roman"/>
          <w:b/>
        </w:rPr>
        <w:t>Attendees:</w:t>
      </w:r>
      <w:r w:rsidRPr="00B67ADE">
        <w:rPr>
          <w:rFonts w:ascii="Times New Roman" w:hAnsi="Times New Roman" w:cs="Times New Roman"/>
        </w:rPr>
        <w:t xml:space="preserve"> </w:t>
      </w:r>
      <w:r>
        <w:rPr>
          <w:rFonts w:ascii="Times New Roman" w:hAnsi="Times New Roman" w:cs="Times New Roman"/>
        </w:rPr>
        <w:tab/>
      </w:r>
      <w:r w:rsidR="005C2EDC">
        <w:rPr>
          <w:rFonts w:ascii="Times New Roman" w:hAnsi="Times New Roman" w:cs="Times New Roman"/>
        </w:rPr>
        <w:t xml:space="preserve">Kerry Berg (NPCC), Karl </w:t>
      </w:r>
      <w:proofErr w:type="spellStart"/>
      <w:r w:rsidR="005C2EDC">
        <w:rPr>
          <w:rFonts w:ascii="Times New Roman" w:hAnsi="Times New Roman" w:cs="Times New Roman"/>
        </w:rPr>
        <w:t>Weist</w:t>
      </w:r>
      <w:proofErr w:type="spellEnd"/>
      <w:r w:rsidR="005C2EDC">
        <w:rPr>
          <w:rFonts w:ascii="Times New Roman" w:hAnsi="Times New Roman" w:cs="Times New Roman"/>
        </w:rPr>
        <w:t xml:space="preserve"> (NPCC), </w:t>
      </w:r>
      <w:r w:rsidRPr="00B67ADE">
        <w:rPr>
          <w:rFonts w:ascii="Times New Roman" w:hAnsi="Times New Roman" w:cs="Times New Roman"/>
        </w:rPr>
        <w:t xml:space="preserve">Jason </w:t>
      </w:r>
      <w:proofErr w:type="spellStart"/>
      <w:r w:rsidRPr="00B67ADE">
        <w:rPr>
          <w:rFonts w:ascii="Times New Roman" w:hAnsi="Times New Roman" w:cs="Times New Roman"/>
        </w:rPr>
        <w:t>Kesling</w:t>
      </w:r>
      <w:proofErr w:type="spellEnd"/>
      <w:r w:rsidRPr="00B67ADE">
        <w:rPr>
          <w:rFonts w:ascii="Times New Roman" w:hAnsi="Times New Roman" w:cs="Times New Roman"/>
        </w:rPr>
        <w:t xml:space="preserve"> (BPT), Kelly Singer (CCT), Carl Scheeler (CTUIR), </w:t>
      </w:r>
      <w:r>
        <w:rPr>
          <w:rFonts w:ascii="Times New Roman" w:hAnsi="Times New Roman" w:cs="Times New Roman"/>
        </w:rPr>
        <w:t xml:space="preserve">Peter </w:t>
      </w:r>
      <w:proofErr w:type="spellStart"/>
      <w:r>
        <w:rPr>
          <w:rFonts w:ascii="Times New Roman" w:hAnsi="Times New Roman" w:cs="Times New Roman"/>
        </w:rPr>
        <w:t>Paquet</w:t>
      </w:r>
      <w:proofErr w:type="spellEnd"/>
      <w:r>
        <w:rPr>
          <w:rFonts w:ascii="Times New Roman" w:hAnsi="Times New Roman" w:cs="Times New Roman"/>
        </w:rPr>
        <w:t xml:space="preserve"> (NPCC),</w:t>
      </w:r>
      <w:r w:rsidR="00C96511">
        <w:rPr>
          <w:rFonts w:ascii="Times New Roman" w:hAnsi="Times New Roman" w:cs="Times New Roman"/>
        </w:rPr>
        <w:t xml:space="preserve"> Alan Wood (</w:t>
      </w:r>
      <w:r w:rsidR="005C2EDC">
        <w:rPr>
          <w:rFonts w:ascii="Times New Roman" w:hAnsi="Times New Roman" w:cs="Times New Roman"/>
        </w:rPr>
        <w:t>MFWP), and Dwight Bergeron (MFWP)</w:t>
      </w:r>
      <w:r>
        <w:rPr>
          <w:rFonts w:ascii="Times New Roman" w:hAnsi="Times New Roman" w:cs="Times New Roman"/>
        </w:rPr>
        <w:t xml:space="preserve"> </w:t>
      </w:r>
    </w:p>
    <w:p w:rsidR="00151E2B" w:rsidRDefault="00151E2B" w:rsidP="00151E2B">
      <w:pPr>
        <w:pStyle w:val="NoSpacing"/>
        <w:ind w:left="1440" w:hanging="1440"/>
        <w:rPr>
          <w:rFonts w:ascii="Times New Roman" w:hAnsi="Times New Roman" w:cs="Times New Roman"/>
          <w:b/>
        </w:rPr>
      </w:pPr>
    </w:p>
    <w:p w:rsidR="00151E2B" w:rsidRDefault="00B67ADE" w:rsidP="00151E2B">
      <w:pPr>
        <w:pStyle w:val="NoSpacing"/>
        <w:ind w:left="1440" w:hanging="1440"/>
        <w:rPr>
          <w:rFonts w:ascii="Times New Roman" w:hAnsi="Times New Roman" w:cs="Times New Roman"/>
        </w:rPr>
      </w:pPr>
      <w:r>
        <w:rPr>
          <w:rFonts w:ascii="Times New Roman" w:hAnsi="Times New Roman" w:cs="Times New Roman"/>
          <w:b/>
        </w:rPr>
        <w:t>By Phone:</w:t>
      </w:r>
      <w:r>
        <w:rPr>
          <w:rFonts w:ascii="Times New Roman" w:hAnsi="Times New Roman" w:cs="Times New Roman"/>
        </w:rPr>
        <w:tab/>
      </w:r>
      <w:r w:rsidR="00151E2B">
        <w:rPr>
          <w:rFonts w:ascii="Times New Roman" w:hAnsi="Times New Roman" w:cs="Times New Roman"/>
        </w:rPr>
        <w:t xml:space="preserve">Sandra Fife (BPA), Scott </w:t>
      </w:r>
      <w:proofErr w:type="spellStart"/>
      <w:r w:rsidR="00151E2B">
        <w:rPr>
          <w:rFonts w:ascii="Times New Roman" w:hAnsi="Times New Roman" w:cs="Times New Roman"/>
        </w:rPr>
        <w:t>Soults</w:t>
      </w:r>
      <w:proofErr w:type="spellEnd"/>
      <w:r w:rsidR="00151E2B">
        <w:rPr>
          <w:rFonts w:ascii="Times New Roman" w:hAnsi="Times New Roman" w:cs="Times New Roman"/>
        </w:rPr>
        <w:t xml:space="preserve"> (KTOI), </w:t>
      </w:r>
      <w:r w:rsidRPr="004D0EB3">
        <w:rPr>
          <w:rFonts w:ascii="Times New Roman" w:hAnsi="Times New Roman" w:cs="Times New Roman"/>
        </w:rPr>
        <w:t xml:space="preserve">Norm </w:t>
      </w:r>
      <w:proofErr w:type="spellStart"/>
      <w:r w:rsidRPr="004D0EB3">
        <w:rPr>
          <w:rFonts w:ascii="Times New Roman" w:hAnsi="Times New Roman" w:cs="Times New Roman"/>
        </w:rPr>
        <w:t>Merz</w:t>
      </w:r>
      <w:proofErr w:type="spellEnd"/>
      <w:r w:rsidRPr="004D0EB3">
        <w:rPr>
          <w:rFonts w:ascii="Times New Roman" w:hAnsi="Times New Roman" w:cs="Times New Roman"/>
        </w:rPr>
        <w:t xml:space="preserve"> (KTOI)</w:t>
      </w:r>
      <w:r w:rsidR="00151E2B">
        <w:rPr>
          <w:rFonts w:ascii="Times New Roman" w:hAnsi="Times New Roman" w:cs="Times New Roman"/>
        </w:rPr>
        <w:t xml:space="preserve">, Paul Ashley (PSMFC), Lawrence </w:t>
      </w:r>
      <w:proofErr w:type="spellStart"/>
      <w:r w:rsidR="00151E2B">
        <w:rPr>
          <w:rFonts w:ascii="Times New Roman" w:hAnsi="Times New Roman" w:cs="Times New Roman"/>
        </w:rPr>
        <w:t>Schwabe</w:t>
      </w:r>
      <w:proofErr w:type="spellEnd"/>
      <w:r w:rsidR="00151E2B">
        <w:rPr>
          <w:rFonts w:ascii="Times New Roman" w:hAnsi="Times New Roman" w:cs="Times New Roman"/>
        </w:rPr>
        <w:t xml:space="preserve"> (CTGR), and </w:t>
      </w:r>
      <w:r w:rsidR="00151E2B" w:rsidRPr="00B67ADE">
        <w:rPr>
          <w:rFonts w:ascii="Times New Roman" w:hAnsi="Times New Roman" w:cs="Times New Roman"/>
        </w:rPr>
        <w:t>N</w:t>
      </w:r>
      <w:r w:rsidR="00151E2B">
        <w:rPr>
          <w:rFonts w:ascii="Times New Roman" w:hAnsi="Times New Roman" w:cs="Times New Roman"/>
        </w:rPr>
        <w:t>eil Ward (QW Consulting)</w:t>
      </w:r>
    </w:p>
    <w:p w:rsidR="00B8759E" w:rsidRDefault="00B8759E" w:rsidP="00B67ADE">
      <w:pPr>
        <w:pStyle w:val="NoSpacing"/>
        <w:ind w:left="1440" w:hanging="1440"/>
        <w:rPr>
          <w:rFonts w:ascii="Times New Roman" w:hAnsi="Times New Roman" w:cs="Times New Roman"/>
        </w:rPr>
      </w:pPr>
    </w:p>
    <w:p w:rsidR="00B67ADE" w:rsidRPr="00B67ADE" w:rsidRDefault="00B67ADE" w:rsidP="00B67ADE">
      <w:pPr>
        <w:pStyle w:val="NoSpacing"/>
        <w:ind w:left="1440" w:hanging="1440"/>
        <w:rPr>
          <w:rFonts w:ascii="Times New Roman" w:hAnsi="Times New Roman" w:cs="Times New Roman"/>
        </w:rPr>
      </w:pPr>
    </w:p>
    <w:tbl>
      <w:tblPr>
        <w:tblStyle w:val="TableGrid"/>
        <w:tblW w:w="0" w:type="auto"/>
        <w:tblLook w:val="04A0" w:firstRow="1" w:lastRow="0" w:firstColumn="1" w:lastColumn="0" w:noHBand="0" w:noVBand="1"/>
      </w:tblPr>
      <w:tblGrid>
        <w:gridCol w:w="918"/>
        <w:gridCol w:w="8550"/>
      </w:tblGrid>
      <w:tr w:rsidR="00B67ADE" w:rsidRPr="004D0EB3" w:rsidTr="00B67ADE">
        <w:tc>
          <w:tcPr>
            <w:tcW w:w="918" w:type="dxa"/>
          </w:tcPr>
          <w:p w:rsidR="00B67ADE" w:rsidRPr="004D0EB3" w:rsidRDefault="00B67ADE">
            <w:pPr>
              <w:rPr>
                <w:rFonts w:ascii="Times New Roman" w:hAnsi="Times New Roman" w:cs="Times New Roman"/>
              </w:rPr>
            </w:pPr>
            <w:r w:rsidRPr="004D0EB3">
              <w:rPr>
                <w:rFonts w:ascii="Times New Roman" w:hAnsi="Times New Roman" w:cs="Times New Roman"/>
              </w:rPr>
              <w:t>Item 1</w:t>
            </w:r>
          </w:p>
        </w:tc>
        <w:tc>
          <w:tcPr>
            <w:tcW w:w="8550" w:type="dxa"/>
          </w:tcPr>
          <w:p w:rsidR="00B67ADE" w:rsidRPr="004D0EB3" w:rsidRDefault="00B67ADE">
            <w:pPr>
              <w:rPr>
                <w:rFonts w:ascii="Times New Roman" w:hAnsi="Times New Roman" w:cs="Times New Roman"/>
                <w:b/>
              </w:rPr>
            </w:pPr>
            <w:r w:rsidRPr="004D0EB3">
              <w:rPr>
                <w:rFonts w:ascii="Times New Roman" w:hAnsi="Times New Roman" w:cs="Times New Roman"/>
                <w:b/>
              </w:rPr>
              <w:t>Introductions and Approval of Agenda</w:t>
            </w:r>
          </w:p>
        </w:tc>
      </w:tr>
      <w:tr w:rsidR="00B67ADE" w:rsidRPr="004D0EB3" w:rsidTr="00B67ADE">
        <w:tc>
          <w:tcPr>
            <w:tcW w:w="918" w:type="dxa"/>
          </w:tcPr>
          <w:p w:rsidR="00B67ADE" w:rsidRPr="004D0EB3" w:rsidRDefault="00B67ADE">
            <w:pPr>
              <w:rPr>
                <w:rFonts w:ascii="Times New Roman" w:hAnsi="Times New Roman" w:cs="Times New Roman"/>
              </w:rPr>
            </w:pPr>
            <w:r w:rsidRPr="004D0EB3">
              <w:rPr>
                <w:rFonts w:ascii="Times New Roman" w:hAnsi="Times New Roman" w:cs="Times New Roman"/>
              </w:rPr>
              <w:t>Item 2</w:t>
            </w:r>
          </w:p>
        </w:tc>
        <w:tc>
          <w:tcPr>
            <w:tcW w:w="8550" w:type="dxa"/>
          </w:tcPr>
          <w:p w:rsidR="00B67ADE" w:rsidRPr="004D0EB3" w:rsidRDefault="006C55CA">
            <w:pPr>
              <w:rPr>
                <w:rFonts w:ascii="Times New Roman" w:hAnsi="Times New Roman" w:cs="Times New Roman"/>
                <w:b/>
              </w:rPr>
            </w:pPr>
            <w:r>
              <w:rPr>
                <w:rFonts w:ascii="Times New Roman" w:hAnsi="Times New Roman" w:cs="Times New Roman"/>
                <w:b/>
              </w:rPr>
              <w:t>Briefing on Draft Fish and Wildlife Program Related Issues</w:t>
            </w:r>
          </w:p>
        </w:tc>
      </w:tr>
      <w:tr w:rsidR="00B67ADE" w:rsidRPr="004D0EB3" w:rsidTr="00B67ADE">
        <w:tc>
          <w:tcPr>
            <w:tcW w:w="918" w:type="dxa"/>
          </w:tcPr>
          <w:p w:rsidR="00B67ADE" w:rsidRPr="004D0EB3" w:rsidRDefault="00B67ADE">
            <w:pPr>
              <w:rPr>
                <w:rFonts w:ascii="Times New Roman" w:hAnsi="Times New Roman" w:cs="Times New Roman"/>
                <w:b/>
              </w:rPr>
            </w:pPr>
          </w:p>
        </w:tc>
        <w:tc>
          <w:tcPr>
            <w:tcW w:w="8550" w:type="dxa"/>
          </w:tcPr>
          <w:p w:rsidR="00322411" w:rsidRPr="00322411" w:rsidRDefault="00322411" w:rsidP="00322411">
            <w:pPr>
              <w:rPr>
                <w:rFonts w:ascii="Times New Roman" w:hAnsi="Times New Roman" w:cs="Times New Roman"/>
              </w:rPr>
            </w:pPr>
            <w:r w:rsidRPr="00322411">
              <w:rPr>
                <w:rFonts w:ascii="Times New Roman" w:hAnsi="Times New Roman" w:cs="Times New Roman"/>
              </w:rPr>
              <w:t xml:space="preserve">Peter </w:t>
            </w:r>
            <w:proofErr w:type="spellStart"/>
            <w:r w:rsidRPr="00322411">
              <w:rPr>
                <w:rFonts w:ascii="Times New Roman" w:hAnsi="Times New Roman" w:cs="Times New Roman"/>
              </w:rPr>
              <w:t>Paquet</w:t>
            </w:r>
            <w:proofErr w:type="spellEnd"/>
            <w:r w:rsidRPr="00322411">
              <w:rPr>
                <w:rFonts w:ascii="Times New Roman" w:hAnsi="Times New Roman" w:cs="Times New Roman"/>
              </w:rPr>
              <w:t xml:space="preserve"> provided an overview of the Wildlife Mitigation Section of the NPCC’s Draft Fish and Wildlife Program with emphasis on the portion</w:t>
            </w:r>
            <w:r>
              <w:rPr>
                <w:rFonts w:ascii="Times New Roman" w:hAnsi="Times New Roman" w:cs="Times New Roman"/>
              </w:rPr>
              <w:t>s</w:t>
            </w:r>
            <w:r w:rsidRPr="00322411">
              <w:rPr>
                <w:rFonts w:ascii="Times New Roman" w:hAnsi="Times New Roman" w:cs="Times New Roman"/>
              </w:rPr>
              <w:t xml:space="preserve"> pertaining to</w:t>
            </w:r>
            <w:r w:rsidR="003670DD">
              <w:rPr>
                <w:rFonts w:ascii="Times New Roman" w:hAnsi="Times New Roman" w:cs="Times New Roman"/>
              </w:rPr>
              <w:t xml:space="preserve"> the</w:t>
            </w:r>
            <w:r>
              <w:rPr>
                <w:rFonts w:ascii="Times New Roman" w:hAnsi="Times New Roman" w:cs="Times New Roman"/>
              </w:rPr>
              <w:t>: 1)</w:t>
            </w:r>
            <w:r w:rsidR="003670DD">
              <w:rPr>
                <w:rFonts w:ascii="Times New Roman" w:hAnsi="Times New Roman" w:cs="Times New Roman"/>
              </w:rPr>
              <w:t xml:space="preserve"> </w:t>
            </w:r>
            <w:r w:rsidRPr="00322411">
              <w:rPr>
                <w:rFonts w:ascii="Times New Roman" w:hAnsi="Times New Roman" w:cs="Times New Roman"/>
              </w:rPr>
              <w:t>proposed use of habitat units as the preferred unit of measurement f</w:t>
            </w:r>
            <w:r w:rsidR="003670DD">
              <w:rPr>
                <w:rFonts w:ascii="Times New Roman" w:hAnsi="Times New Roman" w:cs="Times New Roman"/>
              </w:rPr>
              <w:t>or mitigation accounting, 2)</w:t>
            </w:r>
            <w:r w:rsidRPr="00322411">
              <w:rPr>
                <w:rFonts w:ascii="Times New Roman" w:hAnsi="Times New Roman" w:cs="Times New Roman"/>
              </w:rPr>
              <w:t xml:space="preserve"> Habitat Evaluation Procedure (HEP) methodology</w:t>
            </w:r>
            <w:r w:rsidR="003670DD">
              <w:rPr>
                <w:rFonts w:ascii="Times New Roman" w:hAnsi="Times New Roman" w:cs="Times New Roman"/>
              </w:rPr>
              <w:t>, and 3</w:t>
            </w:r>
            <w:r>
              <w:rPr>
                <w:rFonts w:ascii="Times New Roman" w:hAnsi="Times New Roman" w:cs="Times New Roman"/>
              </w:rPr>
              <w:t>)</w:t>
            </w:r>
            <w:r>
              <w:t xml:space="preserve"> </w:t>
            </w:r>
            <w:r w:rsidRPr="00322411">
              <w:rPr>
                <w:rFonts w:ascii="Times New Roman" w:hAnsi="Times New Roman" w:cs="Times New Roman"/>
              </w:rPr>
              <w:t>operational losses</w:t>
            </w:r>
            <w:r w:rsidRPr="00322411">
              <w:rPr>
                <w:rFonts w:ascii="Times New Roman" w:hAnsi="Times New Roman" w:cs="Times New Roman"/>
              </w:rPr>
              <w:t xml:space="preserve">. Peter informed the group that the NPCC continues to endorse the existing Program language and that the proposed program language was copied from the WAC Charter. </w:t>
            </w:r>
          </w:p>
          <w:p w:rsidR="00322411" w:rsidRDefault="00322411" w:rsidP="00322411">
            <w:pPr>
              <w:pStyle w:val="NoSpacing"/>
            </w:pPr>
          </w:p>
          <w:p w:rsidR="00625F97" w:rsidRDefault="00322411" w:rsidP="00322411">
            <w:pPr>
              <w:pStyle w:val="NoSpacing"/>
              <w:rPr>
                <w:rFonts w:ascii="Times New Roman" w:hAnsi="Times New Roman" w:cs="Times New Roman"/>
              </w:rPr>
            </w:pPr>
            <w:r>
              <w:rPr>
                <w:rFonts w:ascii="Times New Roman" w:hAnsi="Times New Roman" w:cs="Times New Roman"/>
              </w:rPr>
              <w:t xml:space="preserve">As a refresher, Peter described </w:t>
            </w:r>
            <w:r w:rsidR="00625F97">
              <w:rPr>
                <w:rFonts w:ascii="Times New Roman" w:hAnsi="Times New Roman" w:cs="Times New Roman"/>
              </w:rPr>
              <w:t>how the HEP process was developed</w:t>
            </w:r>
            <w:r w:rsidR="008D270A">
              <w:rPr>
                <w:rFonts w:ascii="Times New Roman" w:hAnsi="Times New Roman" w:cs="Times New Roman"/>
              </w:rPr>
              <w:t xml:space="preserve">, as well as how </w:t>
            </w:r>
            <w:r w:rsidR="00625F97">
              <w:rPr>
                <w:rFonts w:ascii="Times New Roman" w:hAnsi="Times New Roman" w:cs="Times New Roman"/>
              </w:rPr>
              <w:t xml:space="preserve">the use of HUs was adopted into the NPCC’s Fish and Wildlife Program. Peter reassured the participants that the NPCC recognizes the issues that the managers have identified relative to the HEP process, as well as the use of HUs for the purpose of crediting. Regarding HEP, Peter indicated that the NPCC and </w:t>
            </w:r>
            <w:r w:rsidR="003670DD">
              <w:rPr>
                <w:rFonts w:ascii="Times New Roman" w:hAnsi="Times New Roman" w:cs="Times New Roman"/>
              </w:rPr>
              <w:t xml:space="preserve">the </w:t>
            </w:r>
            <w:r w:rsidR="00625F97">
              <w:rPr>
                <w:rFonts w:ascii="Times New Roman" w:hAnsi="Times New Roman" w:cs="Times New Roman"/>
              </w:rPr>
              <w:t xml:space="preserve">managers are still </w:t>
            </w:r>
            <w:r w:rsidR="008D270A">
              <w:rPr>
                <w:rFonts w:ascii="Times New Roman" w:hAnsi="Times New Roman" w:cs="Times New Roman"/>
              </w:rPr>
              <w:t>evaluating</w:t>
            </w:r>
            <w:r w:rsidR="00625F97">
              <w:rPr>
                <w:rFonts w:ascii="Times New Roman" w:hAnsi="Times New Roman" w:cs="Times New Roman"/>
              </w:rPr>
              <w:t xml:space="preserve"> whether HEP is the best method available to the region</w:t>
            </w:r>
            <w:r w:rsidR="003670DD">
              <w:rPr>
                <w:rFonts w:ascii="Times New Roman" w:hAnsi="Times New Roman" w:cs="Times New Roman"/>
              </w:rPr>
              <w:t>. The use of HEP and H</w:t>
            </w:r>
            <w:r w:rsidR="008960F9">
              <w:rPr>
                <w:rFonts w:ascii="Times New Roman" w:hAnsi="Times New Roman" w:cs="Times New Roman"/>
              </w:rPr>
              <w:t>Us is described in greater</w:t>
            </w:r>
            <w:r w:rsidR="003670DD">
              <w:rPr>
                <w:rFonts w:ascii="Times New Roman" w:hAnsi="Times New Roman" w:cs="Times New Roman"/>
              </w:rPr>
              <w:t xml:space="preserve"> detail in ITEM 3. </w:t>
            </w:r>
          </w:p>
          <w:p w:rsidR="008960F9" w:rsidRDefault="00625F97" w:rsidP="00322411">
            <w:pPr>
              <w:pStyle w:val="NoSpacing"/>
              <w:rPr>
                <w:rFonts w:ascii="Times New Roman" w:hAnsi="Times New Roman" w:cs="Times New Roman"/>
              </w:rPr>
            </w:pPr>
            <w:r>
              <w:rPr>
                <w:rFonts w:ascii="Times New Roman" w:hAnsi="Times New Roman" w:cs="Times New Roman"/>
              </w:rPr>
              <w:t xml:space="preserve"> </w:t>
            </w:r>
          </w:p>
          <w:p w:rsidR="00322411" w:rsidRDefault="008960F9" w:rsidP="00504AB1">
            <w:pPr>
              <w:pStyle w:val="NoSpacing"/>
              <w:rPr>
                <w:rFonts w:ascii="Times New Roman" w:hAnsi="Times New Roman" w:cs="Times New Roman"/>
              </w:rPr>
            </w:pPr>
            <w:r>
              <w:rPr>
                <w:rFonts w:ascii="Times New Roman" w:hAnsi="Times New Roman" w:cs="Times New Roman"/>
              </w:rPr>
              <w:t xml:space="preserve">Relative to HUs, participants expressed </w:t>
            </w:r>
            <w:r w:rsidR="008B6285">
              <w:rPr>
                <w:rFonts w:ascii="Times New Roman" w:hAnsi="Times New Roman" w:cs="Times New Roman"/>
              </w:rPr>
              <w:t xml:space="preserve">concerns about limited funding and inequality (i.e., </w:t>
            </w:r>
            <w:r w:rsidR="008D270A">
              <w:rPr>
                <w:rFonts w:ascii="Times New Roman" w:hAnsi="Times New Roman" w:cs="Times New Roman"/>
              </w:rPr>
              <w:t>“</w:t>
            </w:r>
            <w:r w:rsidR="008B6285">
              <w:rPr>
                <w:rFonts w:ascii="Times New Roman" w:hAnsi="Times New Roman" w:cs="Times New Roman"/>
              </w:rPr>
              <w:t>those to the table first receive the money</w:t>
            </w:r>
            <w:r w:rsidR="008D270A">
              <w:rPr>
                <w:rFonts w:ascii="Times New Roman" w:hAnsi="Times New Roman" w:cs="Times New Roman"/>
              </w:rPr>
              <w:t>”</w:t>
            </w:r>
            <w:r w:rsidR="008B6285">
              <w:rPr>
                <w:rFonts w:ascii="Times New Roman" w:hAnsi="Times New Roman" w:cs="Times New Roman"/>
              </w:rPr>
              <w:t xml:space="preserve">). Since inequalities may exist, Carl Scheeler suggested there needs to be leadership from the NPCC to address this issue. </w:t>
            </w:r>
            <w:r w:rsidR="00504AB1" w:rsidRPr="00504AB1">
              <w:rPr>
                <w:rFonts w:ascii="Times New Roman" w:hAnsi="Times New Roman" w:cs="Times New Roman"/>
              </w:rPr>
              <w:t xml:space="preserve">Participants agreed that the wildlife section of the Draft </w:t>
            </w:r>
            <w:r w:rsidR="00504AB1">
              <w:rPr>
                <w:rFonts w:ascii="Times New Roman" w:hAnsi="Times New Roman" w:cs="Times New Roman"/>
              </w:rPr>
              <w:t>Fish and Wildlife Program lacks s</w:t>
            </w:r>
            <w:r w:rsidR="00504AB1" w:rsidRPr="00504AB1">
              <w:rPr>
                <w:rFonts w:ascii="Times New Roman" w:hAnsi="Times New Roman" w:cs="Times New Roman"/>
              </w:rPr>
              <w:t xml:space="preserve">pecificity </w:t>
            </w:r>
            <w:r w:rsidR="00504AB1">
              <w:rPr>
                <w:rFonts w:ascii="Times New Roman" w:hAnsi="Times New Roman" w:cs="Times New Roman"/>
              </w:rPr>
              <w:t>and p</w:t>
            </w:r>
            <w:r w:rsidR="00504AB1" w:rsidRPr="00504AB1">
              <w:rPr>
                <w:rFonts w:ascii="Times New Roman" w:hAnsi="Times New Roman" w:cs="Times New Roman"/>
              </w:rPr>
              <w:t>rocess descriptions (definitions)</w:t>
            </w:r>
            <w:r w:rsidR="00504AB1">
              <w:rPr>
                <w:rFonts w:ascii="Times New Roman" w:hAnsi="Times New Roman" w:cs="Times New Roman"/>
              </w:rPr>
              <w:t xml:space="preserve">. </w:t>
            </w:r>
            <w:r w:rsidR="008B6285">
              <w:rPr>
                <w:rFonts w:ascii="Times New Roman" w:hAnsi="Times New Roman" w:cs="Times New Roman"/>
              </w:rPr>
              <w:t>Participants suggested that comments should be submitted recommending that there needs to be clear guidance from the NPCC as to how the process will work. Peter informed the group that the more comments they can provide the better.</w:t>
            </w:r>
          </w:p>
          <w:p w:rsidR="008B6285" w:rsidRPr="00322411" w:rsidRDefault="008B6285" w:rsidP="00322411">
            <w:pPr>
              <w:pStyle w:val="NoSpacing"/>
              <w:rPr>
                <w:rFonts w:ascii="Times New Roman" w:hAnsi="Times New Roman" w:cs="Times New Roman"/>
              </w:rPr>
            </w:pPr>
          </w:p>
          <w:p w:rsidR="00504AB1" w:rsidRPr="00504AB1" w:rsidRDefault="003670DD" w:rsidP="00504AB1">
            <w:pPr>
              <w:rPr>
                <w:rFonts w:ascii="Times New Roman" w:hAnsi="Times New Roman" w:cs="Times New Roman"/>
              </w:rPr>
            </w:pPr>
            <w:r>
              <w:rPr>
                <w:rFonts w:ascii="Times New Roman" w:hAnsi="Times New Roman" w:cs="Times New Roman"/>
              </w:rPr>
              <w:t xml:space="preserve">Regarding the use of HEP and HUs, Peter informed </w:t>
            </w:r>
            <w:r w:rsidR="00322411" w:rsidRPr="00322411">
              <w:rPr>
                <w:rFonts w:ascii="Times New Roman" w:hAnsi="Times New Roman" w:cs="Times New Roman"/>
              </w:rPr>
              <w:t xml:space="preserve">the participants that </w:t>
            </w:r>
            <w:r w:rsidR="008960F9">
              <w:rPr>
                <w:rFonts w:ascii="Times New Roman" w:hAnsi="Times New Roman" w:cs="Times New Roman"/>
              </w:rPr>
              <w:t xml:space="preserve">the </w:t>
            </w:r>
            <w:r>
              <w:rPr>
                <w:rFonts w:ascii="Times New Roman" w:hAnsi="Times New Roman" w:cs="Times New Roman"/>
              </w:rPr>
              <w:t xml:space="preserve">UCUT’s provided a formal letter to the </w:t>
            </w:r>
            <w:r w:rsidR="008960F9">
              <w:rPr>
                <w:rFonts w:ascii="Times New Roman" w:hAnsi="Times New Roman" w:cs="Times New Roman"/>
              </w:rPr>
              <w:t>NPCC</w:t>
            </w:r>
            <w:r>
              <w:rPr>
                <w:rFonts w:ascii="Times New Roman" w:hAnsi="Times New Roman" w:cs="Times New Roman"/>
              </w:rPr>
              <w:t xml:space="preserve"> </w:t>
            </w:r>
            <w:r w:rsidR="008960F9">
              <w:rPr>
                <w:rFonts w:ascii="Times New Roman" w:hAnsi="Times New Roman" w:cs="Times New Roman"/>
              </w:rPr>
              <w:t>in which the UCUTs provided recommendations for improving</w:t>
            </w:r>
            <w:r w:rsidR="00322411" w:rsidRPr="00322411">
              <w:rPr>
                <w:rFonts w:ascii="Times New Roman" w:hAnsi="Times New Roman" w:cs="Times New Roman"/>
              </w:rPr>
              <w:t xml:space="preserve"> wildlife mitigation efforts in the Columbia Basin (Attachment 1). Included in the UCUT’s letter was a recommendation to phase out HEP as a wildlife crediting tool, as well as the Regional HEP Team after the completion of </w:t>
            </w:r>
            <w:r w:rsidR="008D270A">
              <w:rPr>
                <w:rFonts w:ascii="Times New Roman" w:hAnsi="Times New Roman" w:cs="Times New Roman"/>
              </w:rPr>
              <w:t xml:space="preserve">the </w:t>
            </w:r>
            <w:r w:rsidR="00322411" w:rsidRPr="00322411">
              <w:rPr>
                <w:rFonts w:ascii="Times New Roman" w:hAnsi="Times New Roman" w:cs="Times New Roman"/>
              </w:rPr>
              <w:t xml:space="preserve">current reporting requirements.  </w:t>
            </w:r>
          </w:p>
        </w:tc>
      </w:tr>
      <w:tr w:rsidR="00B67ADE" w:rsidRPr="004D0EB3" w:rsidTr="00B67ADE">
        <w:tc>
          <w:tcPr>
            <w:tcW w:w="918" w:type="dxa"/>
          </w:tcPr>
          <w:p w:rsidR="00B67ADE" w:rsidRPr="004D0EB3" w:rsidRDefault="00B67ADE">
            <w:pPr>
              <w:rPr>
                <w:rFonts w:ascii="Times New Roman" w:hAnsi="Times New Roman" w:cs="Times New Roman"/>
              </w:rPr>
            </w:pPr>
            <w:r w:rsidRPr="004D0EB3">
              <w:rPr>
                <w:rFonts w:ascii="Times New Roman" w:hAnsi="Times New Roman" w:cs="Times New Roman"/>
              </w:rPr>
              <w:t>Item 3</w:t>
            </w:r>
          </w:p>
        </w:tc>
        <w:tc>
          <w:tcPr>
            <w:tcW w:w="8550" w:type="dxa"/>
          </w:tcPr>
          <w:p w:rsidR="00B67ADE" w:rsidRPr="004D0EB3" w:rsidRDefault="006C55CA">
            <w:pPr>
              <w:rPr>
                <w:rFonts w:ascii="Times New Roman" w:hAnsi="Times New Roman" w:cs="Times New Roman"/>
                <w:b/>
              </w:rPr>
            </w:pPr>
            <w:r>
              <w:rPr>
                <w:rFonts w:ascii="Times New Roman" w:hAnsi="Times New Roman" w:cs="Times New Roman"/>
                <w:b/>
              </w:rPr>
              <w:t>Briefing on HEP Subgroup Meeting and Potential Issues</w:t>
            </w:r>
          </w:p>
        </w:tc>
      </w:tr>
      <w:tr w:rsidR="00B67ADE" w:rsidRPr="004D0EB3" w:rsidTr="00B67ADE">
        <w:tc>
          <w:tcPr>
            <w:tcW w:w="918" w:type="dxa"/>
          </w:tcPr>
          <w:p w:rsidR="00B67ADE" w:rsidRPr="004D0EB3" w:rsidRDefault="00B67ADE">
            <w:pPr>
              <w:rPr>
                <w:rFonts w:ascii="Times New Roman" w:hAnsi="Times New Roman" w:cs="Times New Roman"/>
                <w:b/>
              </w:rPr>
            </w:pPr>
          </w:p>
        </w:tc>
        <w:tc>
          <w:tcPr>
            <w:tcW w:w="8550" w:type="dxa"/>
          </w:tcPr>
          <w:p w:rsidR="00AA6B0E" w:rsidRDefault="00AA6B0E" w:rsidP="00AA6B0E">
            <w:pPr>
              <w:rPr>
                <w:rFonts w:ascii="Times New Roman" w:hAnsi="Times New Roman" w:cs="Times New Roman"/>
              </w:rPr>
            </w:pPr>
            <w:r>
              <w:rPr>
                <w:rFonts w:ascii="Times New Roman" w:hAnsi="Times New Roman" w:cs="Times New Roman"/>
              </w:rPr>
              <w:t xml:space="preserve">Peter provided a review of the following meeting notes from the </w:t>
            </w:r>
            <w:r>
              <w:rPr>
                <w:rFonts w:ascii="Times New Roman" w:hAnsi="Times New Roman" w:cs="Times New Roman"/>
              </w:rPr>
              <w:t>HEP S</w:t>
            </w:r>
            <w:r>
              <w:rPr>
                <w:rFonts w:ascii="Times New Roman" w:hAnsi="Times New Roman" w:cs="Times New Roman"/>
              </w:rPr>
              <w:t xml:space="preserve">ubgroup’s </w:t>
            </w:r>
            <w:r>
              <w:rPr>
                <w:rFonts w:ascii="Times New Roman" w:hAnsi="Times New Roman" w:cs="Times New Roman"/>
              </w:rPr>
              <w:t>May 28</w:t>
            </w:r>
            <w:r>
              <w:rPr>
                <w:rFonts w:ascii="Times New Roman" w:hAnsi="Times New Roman" w:cs="Times New Roman"/>
              </w:rPr>
              <w:t>, 2014 meeting.</w:t>
            </w:r>
          </w:p>
          <w:p w:rsidR="00E9007F" w:rsidRDefault="00E9007F" w:rsidP="00AA6B0E">
            <w:pPr>
              <w:rPr>
                <w:rFonts w:ascii="Times New Roman" w:hAnsi="Times New Roman" w:cs="Times New Roman"/>
              </w:rPr>
            </w:pPr>
          </w:p>
          <w:p w:rsidR="00E9007F" w:rsidRPr="00E9007F" w:rsidRDefault="00E9007F" w:rsidP="00AA6B0E">
            <w:pPr>
              <w:rPr>
                <w:rFonts w:ascii="Times New Roman" w:hAnsi="Times New Roman" w:cs="Times New Roman"/>
                <w:b/>
                <w:i/>
              </w:rPr>
            </w:pPr>
            <w:r w:rsidRPr="00E9007F">
              <w:rPr>
                <w:rFonts w:ascii="Times New Roman" w:hAnsi="Times New Roman" w:cs="Times New Roman"/>
                <w:b/>
                <w:i/>
              </w:rPr>
              <w:t>HEP Subgroup Meeting Recap (May 29, 2014)</w:t>
            </w:r>
          </w:p>
          <w:p w:rsidR="00E9007F" w:rsidRPr="00E9007F" w:rsidRDefault="00E9007F" w:rsidP="00E9007F">
            <w:pPr>
              <w:rPr>
                <w:rFonts w:ascii="Times New Roman" w:hAnsi="Times New Roman" w:cs="Times New Roman"/>
              </w:rPr>
            </w:pPr>
            <w:r w:rsidRPr="00E9007F">
              <w:rPr>
                <w:rFonts w:ascii="Times New Roman" w:hAnsi="Times New Roman" w:cs="Times New Roman"/>
              </w:rPr>
              <w:t>Prior to reviewing the merits of HEP and alternative methods for crediting and monitoring, Paul Ashley provided an update during which he informed the participants that the “old-guard” (i.e., John Andrews and Paul) would be “fading out” in 10 months and that they are attempting to complete the unfinished reports. Paul indicated that the top priority is new projects followed by unfinished projects (e.g., Colville Reservation property purchase in 1997 (closing-out) and the WDFW acquisition along the Snake River (closing-out). It is Paul’s goal to provide the region with the information by March 31, 2015. Paul also indicated that they are transferring the information to PSMFC where it will be stored until the region decides how it wants to make the information available.</w:t>
            </w:r>
          </w:p>
          <w:p w:rsidR="00E9007F" w:rsidRPr="00E9007F" w:rsidRDefault="00E9007F" w:rsidP="00E9007F">
            <w:pPr>
              <w:rPr>
                <w:rFonts w:ascii="Times New Roman" w:hAnsi="Times New Roman" w:cs="Times New Roman"/>
              </w:rPr>
            </w:pPr>
          </w:p>
          <w:p w:rsidR="00E9007F" w:rsidRPr="00E9007F" w:rsidRDefault="00E9007F" w:rsidP="00E9007F">
            <w:pPr>
              <w:rPr>
                <w:rFonts w:ascii="Times New Roman" w:hAnsi="Times New Roman" w:cs="Times New Roman"/>
              </w:rPr>
            </w:pPr>
            <w:r w:rsidRPr="00E9007F">
              <w:rPr>
                <w:rFonts w:ascii="Times New Roman" w:hAnsi="Times New Roman" w:cs="Times New Roman"/>
              </w:rPr>
              <w:t>The participants were asked whether HEP is still the correct tool for wildlife crediting, as well as where the region is relative to the use and acceptance of HEP. Participants agreed that HEP was initially used because, at the time, it was the state-of-the-art tool; however, other techniques are now available that are considered superior to HEP. Some participants characterized HEP as a “coarse bean-counting” tool. Participants agreed that if they want a monitoring tool, HEP is not the best choice. This has been backed-up by the ISRP during their reviews in which they reported HEP does not inform us about biological responses and the populations. The participants agreed that the biggest issue associated with HEP is that it was not developed to monitor species responses.</w:t>
            </w:r>
          </w:p>
          <w:p w:rsidR="00E9007F" w:rsidRPr="00E9007F" w:rsidRDefault="00E9007F" w:rsidP="00E9007F">
            <w:pPr>
              <w:rPr>
                <w:rFonts w:ascii="Times New Roman" w:hAnsi="Times New Roman" w:cs="Times New Roman"/>
              </w:rPr>
            </w:pPr>
          </w:p>
          <w:p w:rsidR="00B67ADE" w:rsidRPr="004D0EB3" w:rsidRDefault="00E9007F" w:rsidP="00E9007F">
            <w:pPr>
              <w:rPr>
                <w:rFonts w:ascii="Times New Roman" w:hAnsi="Times New Roman" w:cs="Times New Roman"/>
              </w:rPr>
            </w:pPr>
            <w:r w:rsidRPr="00E9007F">
              <w:rPr>
                <w:rFonts w:ascii="Times New Roman" w:hAnsi="Times New Roman" w:cs="Times New Roman"/>
              </w:rPr>
              <w:t>Peter informed the group that it is the WAC’s responsibility to identify a solution for the limitations that are associated with using HEP as a crediting tool. Peter led the participants in an effort to frame the issues associated with continuing to use HEP, as well as identifying methods that could potentially be u</w:t>
            </w:r>
            <w:r w:rsidR="008960F9">
              <w:rPr>
                <w:rFonts w:ascii="Times New Roman" w:hAnsi="Times New Roman" w:cs="Times New Roman"/>
              </w:rPr>
              <w:t>sed to replace HEP (Attachment 2</w:t>
            </w:r>
            <w:r w:rsidRPr="00E9007F">
              <w:rPr>
                <w:rFonts w:ascii="Times New Roman" w:hAnsi="Times New Roman" w:cs="Times New Roman"/>
              </w:rPr>
              <w:t>). Participants were asked whether HEP is still the best “tool” for the purpose of wildlife crediting. Meeting participants agreed that the current version of HEP (circa 1982) is now outdated and that it is not necessarily used how the USFWS envisioned its use, but instead has been modified to meet individual needs.  Attachment 2 reflects the participants attempt to identify issues associated with continuing to use HEP as well as the challenges that could exist if different methods are employed.</w:t>
            </w:r>
          </w:p>
        </w:tc>
      </w:tr>
      <w:tr w:rsidR="00B67ADE" w:rsidRPr="004D0EB3" w:rsidTr="00B67ADE">
        <w:tc>
          <w:tcPr>
            <w:tcW w:w="918" w:type="dxa"/>
          </w:tcPr>
          <w:p w:rsidR="00B67ADE" w:rsidRPr="004D0EB3" w:rsidRDefault="00B67ADE">
            <w:pPr>
              <w:rPr>
                <w:rFonts w:ascii="Times New Roman" w:hAnsi="Times New Roman" w:cs="Times New Roman"/>
              </w:rPr>
            </w:pPr>
            <w:r>
              <w:rPr>
                <w:rFonts w:ascii="Times New Roman" w:hAnsi="Times New Roman" w:cs="Times New Roman"/>
              </w:rPr>
              <w:lastRenderedPageBreak/>
              <w:t>Item 4</w:t>
            </w:r>
          </w:p>
        </w:tc>
        <w:tc>
          <w:tcPr>
            <w:tcW w:w="8550" w:type="dxa"/>
          </w:tcPr>
          <w:p w:rsidR="00B67ADE" w:rsidRPr="00F34E4B" w:rsidRDefault="006C55CA">
            <w:pPr>
              <w:rPr>
                <w:rFonts w:ascii="Times New Roman" w:hAnsi="Times New Roman" w:cs="Times New Roman"/>
                <w:b/>
              </w:rPr>
            </w:pPr>
            <w:r>
              <w:rPr>
                <w:rFonts w:ascii="Times New Roman" w:hAnsi="Times New Roman" w:cs="Times New Roman"/>
                <w:b/>
              </w:rPr>
              <w:t>Break</w:t>
            </w:r>
          </w:p>
        </w:tc>
      </w:tr>
      <w:tr w:rsidR="00B67ADE" w:rsidRPr="004D0EB3" w:rsidTr="00B67ADE">
        <w:tc>
          <w:tcPr>
            <w:tcW w:w="918" w:type="dxa"/>
          </w:tcPr>
          <w:p w:rsidR="00B67ADE" w:rsidRPr="004D0EB3" w:rsidRDefault="00B67ADE">
            <w:pPr>
              <w:rPr>
                <w:rFonts w:ascii="Times New Roman" w:hAnsi="Times New Roman" w:cs="Times New Roman"/>
              </w:rPr>
            </w:pPr>
          </w:p>
        </w:tc>
        <w:tc>
          <w:tcPr>
            <w:tcW w:w="8550" w:type="dxa"/>
          </w:tcPr>
          <w:p w:rsidR="00B67ADE" w:rsidRPr="004D0EB3" w:rsidRDefault="00B67ADE" w:rsidP="00316BA3">
            <w:pPr>
              <w:rPr>
                <w:rFonts w:ascii="Times New Roman" w:hAnsi="Times New Roman" w:cs="Times New Roman"/>
              </w:rPr>
            </w:pPr>
          </w:p>
        </w:tc>
      </w:tr>
      <w:tr w:rsidR="00B67ADE" w:rsidRPr="004D0EB3" w:rsidTr="00B67ADE">
        <w:tc>
          <w:tcPr>
            <w:tcW w:w="918" w:type="dxa"/>
          </w:tcPr>
          <w:p w:rsidR="00B67ADE" w:rsidRPr="004D0EB3" w:rsidRDefault="00B67ADE">
            <w:pPr>
              <w:rPr>
                <w:rFonts w:ascii="Times New Roman" w:hAnsi="Times New Roman" w:cs="Times New Roman"/>
              </w:rPr>
            </w:pPr>
            <w:r>
              <w:rPr>
                <w:rFonts w:ascii="Times New Roman" w:hAnsi="Times New Roman" w:cs="Times New Roman"/>
              </w:rPr>
              <w:t>Item 5</w:t>
            </w:r>
          </w:p>
        </w:tc>
        <w:tc>
          <w:tcPr>
            <w:tcW w:w="8550" w:type="dxa"/>
          </w:tcPr>
          <w:p w:rsidR="00B67ADE" w:rsidRPr="00B8759E" w:rsidRDefault="006C55CA">
            <w:pPr>
              <w:rPr>
                <w:rFonts w:ascii="Times New Roman" w:hAnsi="Times New Roman" w:cs="Times New Roman"/>
                <w:b/>
              </w:rPr>
            </w:pPr>
            <w:r>
              <w:rPr>
                <w:rFonts w:ascii="Times New Roman" w:hAnsi="Times New Roman" w:cs="Times New Roman"/>
                <w:b/>
              </w:rPr>
              <w:t xml:space="preserve">Briefing on Operational </w:t>
            </w:r>
            <w:r w:rsidR="00CC0A7F">
              <w:rPr>
                <w:rFonts w:ascii="Times New Roman" w:hAnsi="Times New Roman" w:cs="Times New Roman"/>
                <w:b/>
              </w:rPr>
              <w:t xml:space="preserve">Losses </w:t>
            </w:r>
            <w:r>
              <w:rPr>
                <w:rFonts w:ascii="Times New Roman" w:hAnsi="Times New Roman" w:cs="Times New Roman"/>
                <w:b/>
              </w:rPr>
              <w:t>Subgroup Meeting and Potential Issues</w:t>
            </w:r>
          </w:p>
        </w:tc>
      </w:tr>
      <w:tr w:rsidR="00B67ADE" w:rsidRPr="004D0EB3" w:rsidTr="00B67ADE">
        <w:tc>
          <w:tcPr>
            <w:tcW w:w="918" w:type="dxa"/>
          </w:tcPr>
          <w:p w:rsidR="00B67ADE" w:rsidRPr="004D0EB3" w:rsidRDefault="00B67ADE">
            <w:pPr>
              <w:rPr>
                <w:rFonts w:ascii="Times New Roman" w:hAnsi="Times New Roman" w:cs="Times New Roman"/>
                <w:b/>
              </w:rPr>
            </w:pPr>
          </w:p>
        </w:tc>
        <w:tc>
          <w:tcPr>
            <w:tcW w:w="8550" w:type="dxa"/>
          </w:tcPr>
          <w:p w:rsidR="00CC0A7F" w:rsidRDefault="00CC0A7F" w:rsidP="006C55CA">
            <w:pPr>
              <w:rPr>
                <w:rFonts w:ascii="Times New Roman" w:hAnsi="Times New Roman" w:cs="Times New Roman"/>
              </w:rPr>
            </w:pPr>
            <w:r>
              <w:rPr>
                <w:rFonts w:ascii="Times New Roman" w:hAnsi="Times New Roman" w:cs="Times New Roman"/>
              </w:rPr>
              <w:t xml:space="preserve">Peter provided a review of the </w:t>
            </w:r>
            <w:r w:rsidR="00D66ED4">
              <w:rPr>
                <w:rFonts w:ascii="Times New Roman" w:hAnsi="Times New Roman" w:cs="Times New Roman"/>
              </w:rPr>
              <w:t xml:space="preserve">following meeting notes from </w:t>
            </w:r>
            <w:r w:rsidR="00AA6B0E">
              <w:rPr>
                <w:rFonts w:ascii="Times New Roman" w:hAnsi="Times New Roman" w:cs="Times New Roman"/>
              </w:rPr>
              <w:t xml:space="preserve">the </w:t>
            </w:r>
            <w:r>
              <w:rPr>
                <w:rFonts w:ascii="Times New Roman" w:hAnsi="Times New Roman" w:cs="Times New Roman"/>
              </w:rPr>
              <w:t xml:space="preserve">Operational </w:t>
            </w:r>
            <w:r>
              <w:rPr>
                <w:rFonts w:ascii="Times New Roman" w:hAnsi="Times New Roman" w:cs="Times New Roman"/>
              </w:rPr>
              <w:t>Losses</w:t>
            </w:r>
            <w:r>
              <w:rPr>
                <w:rFonts w:ascii="Times New Roman" w:hAnsi="Times New Roman" w:cs="Times New Roman"/>
              </w:rPr>
              <w:t xml:space="preserve"> Subgroup</w:t>
            </w:r>
            <w:r w:rsidR="00AA6B0E">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May 29, 2014 meeting</w:t>
            </w:r>
            <w:r w:rsidR="00D66ED4">
              <w:rPr>
                <w:rFonts w:ascii="Times New Roman" w:hAnsi="Times New Roman" w:cs="Times New Roman"/>
              </w:rPr>
              <w:t>.</w:t>
            </w:r>
          </w:p>
          <w:p w:rsidR="00883599" w:rsidRPr="00CC0A7F" w:rsidRDefault="00883599" w:rsidP="006C55CA">
            <w:pPr>
              <w:rPr>
                <w:rFonts w:ascii="Times New Roman" w:hAnsi="Times New Roman" w:cs="Times New Roman"/>
              </w:rPr>
            </w:pPr>
          </w:p>
          <w:p w:rsidR="00883599" w:rsidRDefault="00883599" w:rsidP="00883599">
            <w:pPr>
              <w:rPr>
                <w:rFonts w:ascii="Times New Roman" w:hAnsi="Times New Roman" w:cs="Times New Roman"/>
                <w:b/>
                <w:i/>
              </w:rPr>
            </w:pPr>
            <w:r>
              <w:rPr>
                <w:rFonts w:ascii="Times New Roman" w:hAnsi="Times New Roman" w:cs="Times New Roman"/>
                <w:b/>
                <w:i/>
              </w:rPr>
              <w:t>Operational Losses Subgroup Meeting Recap (May 29, 2014)</w:t>
            </w:r>
          </w:p>
          <w:p w:rsidR="00883599" w:rsidRPr="00883599" w:rsidRDefault="00883599" w:rsidP="00883599">
            <w:pPr>
              <w:rPr>
                <w:rFonts w:ascii="Times New Roman" w:hAnsi="Times New Roman" w:cs="Times New Roman"/>
              </w:rPr>
            </w:pPr>
            <w:r w:rsidRPr="00883599">
              <w:rPr>
                <w:rFonts w:ascii="Times New Roman" w:hAnsi="Times New Roman" w:cs="Times New Roman"/>
              </w:rPr>
              <w:t xml:space="preserve">In addressing operational losses, participants reviewed the proposed definition in the DRAFT Program. The definition that is currently provided focuses only on individual animals, not the populations and habitat that are affected by the daily operations of the </w:t>
            </w:r>
            <w:proofErr w:type="spellStart"/>
            <w:r w:rsidRPr="00883599">
              <w:rPr>
                <w:rFonts w:ascii="Times New Roman" w:hAnsi="Times New Roman" w:cs="Times New Roman"/>
              </w:rPr>
              <w:t>hydrosystem</w:t>
            </w:r>
            <w:proofErr w:type="spellEnd"/>
            <w:r w:rsidRPr="00883599">
              <w:rPr>
                <w:rFonts w:ascii="Times New Roman" w:hAnsi="Times New Roman" w:cs="Times New Roman"/>
              </w:rPr>
              <w:t>. The WAC recommended that the definition for operational losses should include “wildlife habitat” (i.e., direct wildlife and wildlife habitat should be addressed).</w:t>
            </w:r>
          </w:p>
          <w:p w:rsidR="00883599" w:rsidRPr="00883599" w:rsidRDefault="00883599" w:rsidP="00883599">
            <w:pPr>
              <w:rPr>
                <w:rFonts w:ascii="Times New Roman" w:hAnsi="Times New Roman" w:cs="Times New Roman"/>
              </w:rPr>
            </w:pPr>
          </w:p>
          <w:p w:rsidR="00883599" w:rsidRPr="00883599" w:rsidRDefault="00883599" w:rsidP="00883599">
            <w:pPr>
              <w:rPr>
                <w:rFonts w:ascii="Times New Roman" w:hAnsi="Times New Roman" w:cs="Times New Roman"/>
              </w:rPr>
            </w:pPr>
            <w:r w:rsidRPr="00883599">
              <w:rPr>
                <w:rFonts w:ascii="Times New Roman" w:hAnsi="Times New Roman" w:cs="Times New Roman"/>
              </w:rPr>
              <w:t xml:space="preserve">To evaluate potential approaches to address operational losses, the participants wanted to know how BPA addressed operational losses relative to the Willamette Agreement. Philip Key provided an overview of the process that BPA and ODFW used for addressing operational losses. Philip indicated that they evaluated different approaches including the method being developed by the KTOI. In the end, BPA and ODFW agreed to rely on ODFW’s biologists to provide a “best professional estimate” of operational effects above pool elevation.      </w:t>
            </w:r>
          </w:p>
          <w:p w:rsidR="00883599" w:rsidRPr="00883599" w:rsidRDefault="00883599" w:rsidP="00883599">
            <w:pPr>
              <w:rPr>
                <w:rFonts w:ascii="Times New Roman" w:hAnsi="Times New Roman" w:cs="Times New Roman"/>
              </w:rPr>
            </w:pPr>
          </w:p>
          <w:p w:rsidR="00883599" w:rsidRPr="00883599" w:rsidRDefault="00883599" w:rsidP="00883599">
            <w:pPr>
              <w:rPr>
                <w:rFonts w:ascii="Times New Roman" w:hAnsi="Times New Roman" w:cs="Times New Roman"/>
              </w:rPr>
            </w:pPr>
            <w:r w:rsidRPr="00883599">
              <w:rPr>
                <w:rFonts w:ascii="Times New Roman" w:hAnsi="Times New Roman" w:cs="Times New Roman"/>
              </w:rPr>
              <w:t>The difficulties associated with addressing wildlife operational losses are recognized by the NPCC and are referenced in the DRAFT Program. In addition, the NPCC recognizes the progress that has been made through the pilot project on the Kootenai River. In the DRAFT Program, the NPCC proposes that the WAC examine the existing options and alternatives for providing mitigation for wildlife operational losses and to p</w:t>
            </w:r>
            <w:bookmarkStart w:id="0" w:name="_GoBack"/>
            <w:bookmarkEnd w:id="0"/>
            <w:r w:rsidRPr="00883599">
              <w:rPr>
                <w:rFonts w:ascii="Times New Roman" w:hAnsi="Times New Roman" w:cs="Times New Roman"/>
              </w:rPr>
              <w:t>rovide a recommendation to NPCC, for resolving the issue, by October 1, 2015.</w:t>
            </w:r>
          </w:p>
          <w:p w:rsidR="00883599" w:rsidRPr="00883599" w:rsidRDefault="00883599" w:rsidP="00883599">
            <w:pPr>
              <w:rPr>
                <w:rFonts w:ascii="Times New Roman" w:hAnsi="Times New Roman" w:cs="Times New Roman"/>
              </w:rPr>
            </w:pPr>
          </w:p>
          <w:p w:rsidR="00883599" w:rsidRPr="00883599" w:rsidRDefault="00883599" w:rsidP="00883599">
            <w:pPr>
              <w:rPr>
                <w:rFonts w:ascii="Times New Roman" w:hAnsi="Times New Roman" w:cs="Times New Roman"/>
              </w:rPr>
            </w:pPr>
            <w:r w:rsidRPr="00883599">
              <w:rPr>
                <w:rFonts w:ascii="Times New Roman" w:hAnsi="Times New Roman" w:cs="Times New Roman"/>
              </w:rPr>
              <w:t xml:space="preserve">Norm </w:t>
            </w:r>
            <w:proofErr w:type="spellStart"/>
            <w:r w:rsidRPr="00883599">
              <w:rPr>
                <w:rFonts w:ascii="Times New Roman" w:hAnsi="Times New Roman" w:cs="Times New Roman"/>
              </w:rPr>
              <w:t>Merz</w:t>
            </w:r>
            <w:proofErr w:type="spellEnd"/>
            <w:r w:rsidRPr="00883599">
              <w:rPr>
                <w:rFonts w:ascii="Times New Roman" w:hAnsi="Times New Roman" w:cs="Times New Roman"/>
              </w:rPr>
              <w:t xml:space="preserve"> provided an update relative to the KTOI/MFWP Kootenai River project that the NPCC has identified as the potential base methodology (Index of Biological Integrity) for the rest of the basin. Norm indicated that they are preparing to evaluate the transferability of the model (i.e., whether it will work for other river systems). To test the model beyond the Kootenai River, the KTOI and MFWP have decided to evaluate the model and whether the relationships can be applied to the Flathead River. Norm indicated that if all goes as planned, the Flathead River run/results will be available later this year.</w:t>
            </w:r>
          </w:p>
          <w:p w:rsidR="00883599" w:rsidRPr="00883599" w:rsidRDefault="00883599" w:rsidP="00883599">
            <w:pPr>
              <w:rPr>
                <w:rFonts w:ascii="Times New Roman" w:hAnsi="Times New Roman" w:cs="Times New Roman"/>
              </w:rPr>
            </w:pPr>
          </w:p>
          <w:p w:rsidR="00883599" w:rsidRDefault="00883599" w:rsidP="00883599">
            <w:pPr>
              <w:rPr>
                <w:rFonts w:ascii="Times New Roman" w:hAnsi="Times New Roman" w:cs="Times New Roman"/>
              </w:rPr>
            </w:pPr>
            <w:r w:rsidRPr="00883599">
              <w:rPr>
                <w:rFonts w:ascii="Times New Roman" w:hAnsi="Times New Roman" w:cs="Times New Roman"/>
              </w:rPr>
              <w:t xml:space="preserve">Although the participants acknowledged the utility of the model for the Kootenai River, concerns were expressed relative to whether it could be transferred to other basins besides the Flathead. Participants questioned whether a pilot study should be conducted on a larger downriver system, as it will have different issues that must be addressed. Participants suggested that good alternative test cases must be identified and potential prioritized. The participants also questioned how to translate functional impact to mitigation. Norm indicated that they are in the process of developing the translation.  </w:t>
            </w:r>
          </w:p>
          <w:p w:rsidR="00883599" w:rsidRDefault="00883599" w:rsidP="00883599">
            <w:pPr>
              <w:rPr>
                <w:rFonts w:ascii="Times New Roman" w:hAnsi="Times New Roman" w:cs="Times New Roman"/>
              </w:rPr>
            </w:pPr>
          </w:p>
          <w:p w:rsidR="00D66ED4" w:rsidRDefault="00883599" w:rsidP="00883599">
            <w:pPr>
              <w:rPr>
                <w:rFonts w:ascii="Times New Roman" w:hAnsi="Times New Roman" w:cs="Times New Roman"/>
              </w:rPr>
            </w:pPr>
            <w:r>
              <w:rPr>
                <w:rFonts w:ascii="Times New Roman" w:hAnsi="Times New Roman" w:cs="Times New Roman"/>
              </w:rPr>
              <w:t xml:space="preserve">In response to the NPCC’s proposed “definition” </w:t>
            </w:r>
            <w:r w:rsidR="00AA6B0E">
              <w:rPr>
                <w:rFonts w:ascii="Times New Roman" w:hAnsi="Times New Roman" w:cs="Times New Roman"/>
              </w:rPr>
              <w:t xml:space="preserve">for operational losses, </w:t>
            </w:r>
            <w:r>
              <w:rPr>
                <w:rFonts w:ascii="Times New Roman" w:hAnsi="Times New Roman" w:cs="Times New Roman"/>
              </w:rPr>
              <w:t xml:space="preserve">Scott </w:t>
            </w:r>
            <w:proofErr w:type="spellStart"/>
            <w:r>
              <w:rPr>
                <w:rFonts w:ascii="Times New Roman" w:hAnsi="Times New Roman" w:cs="Times New Roman"/>
              </w:rPr>
              <w:t>Soults</w:t>
            </w:r>
            <w:proofErr w:type="spellEnd"/>
            <w:r>
              <w:rPr>
                <w:rFonts w:ascii="Times New Roman" w:hAnsi="Times New Roman" w:cs="Times New Roman"/>
              </w:rPr>
              <w:t xml:space="preserve">, Alan Wood, and Dwight Bergeron provided the group with the following definitions as </w:t>
            </w:r>
            <w:r w:rsidR="008D270A">
              <w:rPr>
                <w:rFonts w:ascii="Times New Roman" w:hAnsi="Times New Roman" w:cs="Times New Roman"/>
              </w:rPr>
              <w:t xml:space="preserve">potential </w:t>
            </w:r>
            <w:r>
              <w:rPr>
                <w:rFonts w:ascii="Times New Roman" w:hAnsi="Times New Roman" w:cs="Times New Roman"/>
              </w:rPr>
              <w:t>replacement</w:t>
            </w:r>
            <w:r w:rsidR="00AA6B0E">
              <w:rPr>
                <w:rFonts w:ascii="Times New Roman" w:hAnsi="Times New Roman" w:cs="Times New Roman"/>
              </w:rPr>
              <w:t>s</w:t>
            </w:r>
            <w:r>
              <w:rPr>
                <w:rFonts w:ascii="Times New Roman" w:hAnsi="Times New Roman" w:cs="Times New Roman"/>
              </w:rPr>
              <w:t xml:space="preserve"> for those which are currently in the Draft Fis</w:t>
            </w:r>
            <w:r w:rsidR="00AA6B0E">
              <w:rPr>
                <w:rFonts w:ascii="Times New Roman" w:hAnsi="Times New Roman" w:cs="Times New Roman"/>
              </w:rPr>
              <w:t>h and Wildlif</w:t>
            </w:r>
            <w:r w:rsidR="008D270A">
              <w:rPr>
                <w:rFonts w:ascii="Times New Roman" w:hAnsi="Times New Roman" w:cs="Times New Roman"/>
              </w:rPr>
              <w:t>e Program</w:t>
            </w:r>
            <w:r>
              <w:rPr>
                <w:rFonts w:ascii="Times New Roman" w:hAnsi="Times New Roman" w:cs="Times New Roman"/>
              </w:rPr>
              <w:t xml:space="preserve">. </w:t>
            </w:r>
            <w:r w:rsidRPr="00883599">
              <w:rPr>
                <w:rFonts w:ascii="Times New Roman" w:hAnsi="Times New Roman" w:cs="Times New Roman"/>
              </w:rPr>
              <w:t xml:space="preserve">    </w:t>
            </w:r>
          </w:p>
          <w:p w:rsidR="00883599" w:rsidRPr="00883599" w:rsidRDefault="00883599" w:rsidP="00883599">
            <w:pPr>
              <w:rPr>
                <w:rFonts w:ascii="Times New Roman" w:hAnsi="Times New Roman" w:cs="Times New Roman"/>
              </w:rPr>
            </w:pPr>
            <w:r w:rsidRPr="00883599">
              <w:rPr>
                <w:rFonts w:ascii="Times New Roman" w:hAnsi="Times New Roman" w:cs="Times New Roman"/>
              </w:rPr>
              <w:t xml:space="preserve"> </w:t>
            </w:r>
          </w:p>
          <w:p w:rsidR="00D66ED4" w:rsidRDefault="006C55CA" w:rsidP="006C55CA">
            <w:pPr>
              <w:rPr>
                <w:rFonts w:ascii="Times New Roman" w:hAnsi="Times New Roman" w:cs="Times New Roman"/>
              </w:rPr>
            </w:pPr>
            <w:r w:rsidRPr="00D66ED4">
              <w:rPr>
                <w:rFonts w:ascii="Times New Roman" w:hAnsi="Times New Roman" w:cs="Times New Roman"/>
                <w:b/>
                <w:i/>
                <w:u w:val="single"/>
              </w:rPr>
              <w:t>Operational Impacts</w:t>
            </w:r>
            <w:r w:rsidRPr="00D66ED4">
              <w:rPr>
                <w:rFonts w:ascii="Times New Roman" w:hAnsi="Times New Roman" w:cs="Times New Roman"/>
                <w:u w:val="single"/>
              </w:rPr>
              <w:t>:</w:t>
            </w:r>
            <w:r w:rsidRPr="006C55CA">
              <w:rPr>
                <w:rFonts w:ascii="Times New Roman" w:hAnsi="Times New Roman" w:cs="Times New Roman"/>
              </w:rPr>
              <w:t xml:space="preserve"> </w:t>
            </w:r>
          </w:p>
          <w:p w:rsidR="00B67ADE" w:rsidRDefault="006C55CA" w:rsidP="006C55CA">
            <w:pPr>
              <w:rPr>
                <w:rFonts w:ascii="Times New Roman" w:hAnsi="Times New Roman" w:cs="Times New Roman"/>
              </w:rPr>
            </w:pPr>
            <w:r w:rsidRPr="00D66ED4">
              <w:rPr>
                <w:rFonts w:ascii="Times New Roman" w:hAnsi="Times New Roman" w:cs="Times New Roman"/>
                <w:i/>
              </w:rPr>
              <w:t>Direct changes in river hydrology, hydraulics, sediment/nutrient supply and/or transport that cascade throughout the ecosystem to alter physical and ecological processes, vegetation communities, which directly affect fish and wildlife communities. Operational impacts can also occur within reservoirs as a result of fluctuating water levels which cause shoreline erosion. Operational impacts are expressed over time and will continue for the life of the hydropower system operation.</w:t>
            </w:r>
            <w:r w:rsidRPr="006C55CA">
              <w:rPr>
                <w:rFonts w:ascii="Times New Roman" w:hAnsi="Times New Roman" w:cs="Times New Roman"/>
              </w:rPr>
              <w:t xml:space="preserve">  </w:t>
            </w:r>
          </w:p>
          <w:p w:rsidR="00D66ED4" w:rsidRDefault="006C55CA" w:rsidP="006C55CA">
            <w:pPr>
              <w:rPr>
                <w:rFonts w:ascii="Times New Roman" w:hAnsi="Times New Roman" w:cs="Times New Roman"/>
              </w:rPr>
            </w:pPr>
            <w:r w:rsidRPr="00D66ED4">
              <w:rPr>
                <w:rFonts w:ascii="Times New Roman" w:hAnsi="Times New Roman" w:cs="Times New Roman"/>
                <w:b/>
                <w:i/>
                <w:u w:val="single"/>
              </w:rPr>
              <w:t>Secondary Wildlife Losses</w:t>
            </w:r>
            <w:r w:rsidRPr="006C55CA">
              <w:rPr>
                <w:rFonts w:ascii="Times New Roman" w:hAnsi="Times New Roman" w:cs="Times New Roman"/>
              </w:rPr>
              <w:t xml:space="preserve">: </w:t>
            </w:r>
          </w:p>
          <w:p w:rsidR="006C55CA" w:rsidRPr="00D66ED4" w:rsidRDefault="006C55CA" w:rsidP="006C55CA">
            <w:pPr>
              <w:rPr>
                <w:rFonts w:ascii="Times New Roman" w:hAnsi="Times New Roman" w:cs="Times New Roman"/>
                <w:i/>
              </w:rPr>
            </w:pPr>
            <w:r w:rsidRPr="00D66ED4">
              <w:rPr>
                <w:rFonts w:ascii="Times New Roman" w:hAnsi="Times New Roman" w:cs="Times New Roman"/>
                <w:i/>
              </w:rPr>
              <w:t>The indirect reduction in wildlife communities and/or their habitats from changes including, but not limited to</w:t>
            </w:r>
            <w:r w:rsidR="00AA6B0E">
              <w:rPr>
                <w:rFonts w:ascii="Times New Roman" w:hAnsi="Times New Roman" w:cs="Times New Roman"/>
                <w:i/>
              </w:rPr>
              <w:t>,</w:t>
            </w:r>
            <w:r w:rsidRPr="00D66ED4">
              <w:rPr>
                <w:rFonts w:ascii="Times New Roman" w:hAnsi="Times New Roman" w:cs="Times New Roman"/>
                <w:i/>
              </w:rPr>
              <w:t xml:space="preserve"> food web alterations, habitat availability, or nutrient availability/transport stemming from the construction,</w:t>
            </w:r>
            <w:r w:rsidR="008D270A">
              <w:rPr>
                <w:rFonts w:ascii="Times New Roman" w:hAnsi="Times New Roman" w:cs="Times New Roman"/>
                <w:i/>
              </w:rPr>
              <w:t xml:space="preserve"> </w:t>
            </w:r>
            <w:r w:rsidRPr="00D66ED4">
              <w:rPr>
                <w:rFonts w:ascii="Times New Roman" w:hAnsi="Times New Roman" w:cs="Times New Roman"/>
                <w:i/>
              </w:rPr>
              <w:t>inundation, and/or operation of the hydropower system.</w:t>
            </w:r>
          </w:p>
          <w:p w:rsidR="006C55CA" w:rsidRPr="006C55CA" w:rsidRDefault="006C55CA" w:rsidP="006C55CA">
            <w:pPr>
              <w:rPr>
                <w:rFonts w:ascii="Times New Roman" w:hAnsi="Times New Roman" w:cs="Times New Roman"/>
              </w:rPr>
            </w:pPr>
          </w:p>
        </w:tc>
      </w:tr>
      <w:tr w:rsidR="000237F7" w:rsidRPr="004D0EB3" w:rsidTr="00B67ADE">
        <w:tc>
          <w:tcPr>
            <w:tcW w:w="918" w:type="dxa"/>
          </w:tcPr>
          <w:p w:rsidR="000237F7" w:rsidRPr="000237F7" w:rsidRDefault="000237F7">
            <w:pPr>
              <w:rPr>
                <w:rFonts w:ascii="Times New Roman" w:hAnsi="Times New Roman" w:cs="Times New Roman"/>
              </w:rPr>
            </w:pPr>
            <w:r>
              <w:rPr>
                <w:rFonts w:ascii="Times New Roman" w:hAnsi="Times New Roman" w:cs="Times New Roman"/>
              </w:rPr>
              <w:t>Item 6</w:t>
            </w:r>
          </w:p>
        </w:tc>
        <w:tc>
          <w:tcPr>
            <w:tcW w:w="8550" w:type="dxa"/>
          </w:tcPr>
          <w:p w:rsidR="000237F7" w:rsidRPr="009F6368" w:rsidRDefault="000237F7" w:rsidP="001B010F">
            <w:pPr>
              <w:rPr>
                <w:rFonts w:ascii="Times New Roman" w:hAnsi="Times New Roman" w:cs="Times New Roman"/>
                <w:b/>
              </w:rPr>
            </w:pPr>
            <w:r w:rsidRPr="009F6368">
              <w:rPr>
                <w:rFonts w:ascii="Times New Roman" w:hAnsi="Times New Roman" w:cs="Times New Roman"/>
                <w:b/>
              </w:rPr>
              <w:t xml:space="preserve">Next </w:t>
            </w:r>
            <w:r w:rsidR="006C55CA">
              <w:rPr>
                <w:rFonts w:ascii="Times New Roman" w:hAnsi="Times New Roman" w:cs="Times New Roman"/>
                <w:b/>
              </w:rPr>
              <w:t>Steps and Other Issues</w:t>
            </w:r>
          </w:p>
        </w:tc>
      </w:tr>
      <w:tr w:rsidR="000237F7" w:rsidRPr="004D0EB3" w:rsidTr="00B67ADE">
        <w:tc>
          <w:tcPr>
            <w:tcW w:w="918" w:type="dxa"/>
          </w:tcPr>
          <w:p w:rsidR="000237F7" w:rsidRDefault="000237F7">
            <w:pPr>
              <w:rPr>
                <w:rFonts w:ascii="Times New Roman" w:hAnsi="Times New Roman" w:cs="Times New Roman"/>
              </w:rPr>
            </w:pPr>
          </w:p>
        </w:tc>
        <w:tc>
          <w:tcPr>
            <w:tcW w:w="8550" w:type="dxa"/>
          </w:tcPr>
          <w:p w:rsidR="009F6368" w:rsidRDefault="006C55CA" w:rsidP="009F6368">
            <w:pPr>
              <w:jc w:val="center"/>
              <w:rPr>
                <w:rFonts w:ascii="Times New Roman" w:hAnsi="Times New Roman" w:cs="Times New Roman"/>
              </w:rPr>
            </w:pPr>
            <w:r>
              <w:rPr>
                <w:rFonts w:ascii="Times New Roman" w:hAnsi="Times New Roman" w:cs="Times New Roman"/>
              </w:rPr>
              <w:t>WAC Meeting</w:t>
            </w:r>
            <w:r w:rsidR="009F6368">
              <w:rPr>
                <w:rFonts w:ascii="Times New Roman" w:hAnsi="Times New Roman" w:cs="Times New Roman"/>
              </w:rPr>
              <w:t xml:space="preserve"> </w:t>
            </w:r>
          </w:p>
          <w:p w:rsidR="000237F7" w:rsidRDefault="006C55CA" w:rsidP="009F6368">
            <w:pPr>
              <w:jc w:val="center"/>
              <w:rPr>
                <w:rFonts w:ascii="Times New Roman" w:hAnsi="Times New Roman" w:cs="Times New Roman"/>
              </w:rPr>
            </w:pPr>
            <w:r>
              <w:rPr>
                <w:rFonts w:ascii="Times New Roman" w:hAnsi="Times New Roman" w:cs="Times New Roman"/>
              </w:rPr>
              <w:t>August 19</w:t>
            </w:r>
            <w:r w:rsidR="009F6368">
              <w:rPr>
                <w:rFonts w:ascii="Times New Roman" w:hAnsi="Times New Roman" w:cs="Times New Roman"/>
              </w:rPr>
              <w:t>, 2014</w:t>
            </w:r>
            <w:r>
              <w:rPr>
                <w:rFonts w:ascii="Times New Roman" w:hAnsi="Times New Roman" w:cs="Times New Roman"/>
              </w:rPr>
              <w:t xml:space="preserve"> (1:00pm - 4:30pm) and August 20, 2014 (9:00am – 3:00pm)*</w:t>
            </w:r>
          </w:p>
          <w:p w:rsidR="009F6368" w:rsidRDefault="006C55CA" w:rsidP="009F6368">
            <w:pPr>
              <w:jc w:val="center"/>
              <w:rPr>
                <w:rFonts w:ascii="Times New Roman" w:hAnsi="Times New Roman" w:cs="Times New Roman"/>
              </w:rPr>
            </w:pPr>
            <w:r>
              <w:rPr>
                <w:rFonts w:ascii="Times New Roman" w:hAnsi="Times New Roman" w:cs="Times New Roman"/>
              </w:rPr>
              <w:t>Spokane, WA</w:t>
            </w:r>
          </w:p>
          <w:p w:rsidR="006C55CA" w:rsidRDefault="006C55CA" w:rsidP="009F6368">
            <w:pPr>
              <w:jc w:val="center"/>
              <w:rPr>
                <w:rFonts w:ascii="Times New Roman" w:hAnsi="Times New Roman" w:cs="Times New Roman"/>
              </w:rPr>
            </w:pPr>
            <w:r>
              <w:rPr>
                <w:rFonts w:ascii="Times New Roman" w:hAnsi="Times New Roman" w:cs="Times New Roman"/>
              </w:rPr>
              <w:t>*all times are Pacific</w:t>
            </w:r>
          </w:p>
          <w:p w:rsidR="009F6368" w:rsidRDefault="009F6368" w:rsidP="009F6368">
            <w:pPr>
              <w:jc w:val="center"/>
              <w:rPr>
                <w:rFonts w:ascii="Times New Roman" w:hAnsi="Times New Roman" w:cs="Times New Roman"/>
              </w:rPr>
            </w:pPr>
          </w:p>
        </w:tc>
      </w:tr>
    </w:tbl>
    <w:p w:rsidR="00264618" w:rsidRPr="004D0EB3" w:rsidRDefault="00264618">
      <w:pPr>
        <w:rPr>
          <w:rFonts w:ascii="Times New Roman" w:hAnsi="Times New Roman" w:cs="Times New Roman"/>
        </w:rPr>
      </w:pPr>
    </w:p>
    <w:p w:rsidR="00504AB1" w:rsidRDefault="00504AB1" w:rsidP="00F61B97">
      <w:pPr>
        <w:jc w:val="center"/>
        <w:rPr>
          <w:rFonts w:ascii="Times New Roman" w:hAnsi="Times New Roman" w:cs="Times New Roman"/>
          <w:b/>
        </w:rPr>
      </w:pPr>
      <w:r>
        <w:rPr>
          <w:rFonts w:ascii="Times New Roman" w:hAnsi="Times New Roman" w:cs="Times New Roman"/>
          <w:b/>
        </w:rPr>
        <w:t>ATTACHMENT 1</w:t>
      </w: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r>
        <w:rPr>
          <w:rFonts w:ascii="Times New Roman" w:hAnsi="Times New Roman" w:cs="Times New Roman"/>
          <w:b/>
        </w:rPr>
        <w:t>UCUT Letter</w:t>
      </w: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504AB1" w:rsidRDefault="00504AB1" w:rsidP="00F61B97">
      <w:pPr>
        <w:jc w:val="center"/>
        <w:rPr>
          <w:rFonts w:ascii="Times New Roman" w:hAnsi="Times New Roman" w:cs="Times New Roman"/>
          <w:b/>
        </w:rPr>
      </w:pPr>
    </w:p>
    <w:p w:rsidR="00F61B97" w:rsidRPr="00F61B97" w:rsidRDefault="00F61B97" w:rsidP="00F61B97">
      <w:pPr>
        <w:jc w:val="center"/>
        <w:rPr>
          <w:rFonts w:ascii="Times New Roman" w:hAnsi="Times New Roman" w:cs="Times New Roman"/>
          <w:b/>
        </w:rPr>
      </w:pPr>
      <w:r w:rsidRPr="00F61B97">
        <w:rPr>
          <w:rFonts w:ascii="Times New Roman" w:hAnsi="Times New Roman" w:cs="Times New Roman"/>
          <w:b/>
        </w:rPr>
        <w:t>ATTACHMENT 2</w:t>
      </w:r>
    </w:p>
    <w:tbl>
      <w:tblPr>
        <w:tblStyle w:val="TableGrid"/>
        <w:tblW w:w="10188" w:type="dxa"/>
        <w:tblLayout w:type="fixed"/>
        <w:tblLook w:val="04A0" w:firstRow="1" w:lastRow="0" w:firstColumn="1" w:lastColumn="0" w:noHBand="0" w:noVBand="1"/>
      </w:tblPr>
      <w:tblGrid>
        <w:gridCol w:w="1278"/>
        <w:gridCol w:w="2227"/>
        <w:gridCol w:w="2228"/>
        <w:gridCol w:w="2227"/>
        <w:gridCol w:w="2228"/>
      </w:tblGrid>
      <w:tr w:rsidR="000142DF" w:rsidRPr="00F61B97" w:rsidTr="000237F7">
        <w:trPr>
          <w:trHeight w:val="1133"/>
        </w:trPr>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7" w:type="dxa"/>
            <w:shd w:val="clear" w:color="auto" w:fill="D9D9D9" w:themeFill="background1" w:themeFillShade="D9"/>
          </w:tcPr>
          <w:p w:rsidR="000142DF" w:rsidRPr="00F61B97" w:rsidRDefault="000142DF" w:rsidP="00F61B97">
            <w:pPr>
              <w:pStyle w:val="NoSpacing"/>
              <w:jc w:val="center"/>
              <w:rPr>
                <w:rFonts w:ascii="Times New Roman" w:hAnsi="Times New Roman" w:cs="Times New Roman"/>
                <w:b/>
                <w:sz w:val="20"/>
                <w:szCs w:val="20"/>
              </w:rPr>
            </w:pPr>
            <w:r w:rsidRPr="00F61B97">
              <w:rPr>
                <w:rFonts w:ascii="Times New Roman" w:hAnsi="Times New Roman" w:cs="Times New Roman"/>
                <w:b/>
                <w:sz w:val="20"/>
                <w:szCs w:val="20"/>
              </w:rPr>
              <w:t>Continue to use HEP</w:t>
            </w:r>
          </w:p>
        </w:tc>
        <w:tc>
          <w:tcPr>
            <w:tcW w:w="2228" w:type="dxa"/>
            <w:shd w:val="clear" w:color="auto" w:fill="D9D9D9" w:themeFill="background1" w:themeFillShade="D9"/>
          </w:tcPr>
          <w:p w:rsidR="000142DF" w:rsidRPr="00F61B97" w:rsidRDefault="000142DF" w:rsidP="00F61B97">
            <w:pPr>
              <w:pStyle w:val="NoSpacing"/>
              <w:jc w:val="center"/>
              <w:rPr>
                <w:rFonts w:ascii="Times New Roman" w:hAnsi="Times New Roman" w:cs="Times New Roman"/>
                <w:b/>
                <w:sz w:val="20"/>
                <w:szCs w:val="20"/>
              </w:rPr>
            </w:pPr>
            <w:r w:rsidRPr="00F61B97">
              <w:rPr>
                <w:rFonts w:ascii="Times New Roman" w:hAnsi="Times New Roman" w:cs="Times New Roman"/>
                <w:b/>
                <w:sz w:val="20"/>
                <w:szCs w:val="20"/>
              </w:rPr>
              <w:t>Comments</w:t>
            </w:r>
            <w:r w:rsidR="000237F7">
              <w:rPr>
                <w:rFonts w:ascii="Times New Roman" w:hAnsi="Times New Roman" w:cs="Times New Roman"/>
                <w:b/>
                <w:sz w:val="20"/>
                <w:szCs w:val="20"/>
              </w:rPr>
              <w:t xml:space="preserve"> and Concerns </w:t>
            </w:r>
          </w:p>
        </w:tc>
        <w:tc>
          <w:tcPr>
            <w:tcW w:w="2227" w:type="dxa"/>
            <w:shd w:val="clear" w:color="auto" w:fill="D9D9D9" w:themeFill="background1" w:themeFillShade="D9"/>
          </w:tcPr>
          <w:p w:rsidR="000142DF" w:rsidRPr="00F61B97" w:rsidRDefault="000142DF" w:rsidP="00F61B97">
            <w:pPr>
              <w:pStyle w:val="NoSpacing"/>
              <w:jc w:val="center"/>
              <w:rPr>
                <w:rFonts w:ascii="Times New Roman" w:hAnsi="Times New Roman" w:cs="Times New Roman"/>
                <w:b/>
                <w:sz w:val="20"/>
                <w:szCs w:val="20"/>
              </w:rPr>
            </w:pPr>
            <w:r w:rsidRPr="00F61B97">
              <w:rPr>
                <w:rFonts w:ascii="Times New Roman" w:hAnsi="Times New Roman" w:cs="Times New Roman"/>
                <w:b/>
                <w:sz w:val="20"/>
                <w:szCs w:val="20"/>
              </w:rPr>
              <w:t>No longer use HEP (move towards a monitoring/crediting hybrid)</w:t>
            </w:r>
          </w:p>
        </w:tc>
        <w:tc>
          <w:tcPr>
            <w:tcW w:w="2228" w:type="dxa"/>
            <w:shd w:val="clear" w:color="auto" w:fill="D9D9D9" w:themeFill="background1" w:themeFillShade="D9"/>
          </w:tcPr>
          <w:p w:rsidR="000142DF" w:rsidRPr="00F61B97" w:rsidRDefault="000142DF" w:rsidP="00F61B97">
            <w:pPr>
              <w:pStyle w:val="NoSpacing"/>
              <w:jc w:val="center"/>
              <w:rPr>
                <w:rFonts w:ascii="Times New Roman" w:hAnsi="Times New Roman" w:cs="Times New Roman"/>
                <w:b/>
                <w:sz w:val="20"/>
                <w:szCs w:val="20"/>
              </w:rPr>
            </w:pPr>
            <w:r w:rsidRPr="00F61B97">
              <w:rPr>
                <w:rFonts w:ascii="Times New Roman" w:hAnsi="Times New Roman" w:cs="Times New Roman"/>
                <w:b/>
                <w:sz w:val="20"/>
                <w:szCs w:val="20"/>
              </w:rPr>
              <w:t>Comments</w:t>
            </w:r>
            <w:r w:rsidR="000237F7">
              <w:rPr>
                <w:rFonts w:ascii="Times New Roman" w:hAnsi="Times New Roman" w:cs="Times New Roman"/>
                <w:b/>
                <w:sz w:val="20"/>
                <w:szCs w:val="20"/>
              </w:rPr>
              <w:t xml:space="preserve"> and Concerns</w:t>
            </w: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r w:rsidRPr="00F61B97">
              <w:rPr>
                <w:rFonts w:ascii="Times New Roman" w:hAnsi="Times New Roman" w:cs="Times New Roman"/>
                <w:b/>
                <w:sz w:val="20"/>
                <w:szCs w:val="20"/>
              </w:rPr>
              <w:t>Cons</w:t>
            </w:r>
          </w:p>
        </w:tc>
        <w:tc>
          <w:tcPr>
            <w:tcW w:w="2227" w:type="dxa"/>
          </w:tcPr>
          <w:p w:rsidR="000142DF" w:rsidRPr="00F61B97" w:rsidRDefault="00F34E4B"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 xml:space="preserve">Is not a </w:t>
            </w:r>
            <w:r w:rsidR="000142DF" w:rsidRPr="00F61B97">
              <w:rPr>
                <w:rFonts w:ascii="Times New Roman" w:hAnsi="Times New Roman" w:cs="Times New Roman"/>
                <w:sz w:val="20"/>
                <w:szCs w:val="20"/>
              </w:rPr>
              <w:t>monitoring</w:t>
            </w:r>
            <w:r w:rsidRPr="00F61B97">
              <w:rPr>
                <w:rFonts w:ascii="Times New Roman" w:hAnsi="Times New Roman" w:cs="Times New Roman"/>
                <w:sz w:val="20"/>
                <w:szCs w:val="20"/>
              </w:rPr>
              <w:t xml:space="preserve"> tool</w:t>
            </w:r>
            <w:r w:rsidR="000142DF" w:rsidRPr="00F61B97">
              <w:rPr>
                <w:rFonts w:ascii="Times New Roman" w:hAnsi="Times New Roman" w:cs="Times New Roman"/>
                <w:sz w:val="20"/>
                <w:szCs w:val="20"/>
              </w:rPr>
              <w:t xml:space="preserve"> </w:t>
            </w: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4D0EB3"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See comments relative to alternatives</w:t>
            </w: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p>
        </w:tc>
        <w:tc>
          <w:tcPr>
            <w:tcW w:w="2227" w:type="dxa"/>
          </w:tcPr>
          <w:p w:rsidR="000142DF" w:rsidRPr="00F61B97" w:rsidRDefault="00F34E4B"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Out</w:t>
            </w:r>
            <w:r w:rsidR="000142DF" w:rsidRPr="00F61B97">
              <w:rPr>
                <w:rFonts w:ascii="Times New Roman" w:hAnsi="Times New Roman" w:cs="Times New Roman"/>
                <w:sz w:val="20"/>
                <w:szCs w:val="20"/>
              </w:rPr>
              <w:t xml:space="preserve">dated </w:t>
            </w: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Lack of regional support</w:t>
            </w: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 xml:space="preserve">Does not tell us anything about biological responses of species and populations </w:t>
            </w: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p>
        </w:tc>
        <w:tc>
          <w:tcPr>
            <w:tcW w:w="2227"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8"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7"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8"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r w:rsidRPr="00F61B97">
              <w:rPr>
                <w:rFonts w:ascii="Times New Roman" w:hAnsi="Times New Roman" w:cs="Times New Roman"/>
                <w:b/>
                <w:sz w:val="20"/>
                <w:szCs w:val="20"/>
              </w:rPr>
              <w:t>Pros</w:t>
            </w:r>
          </w:p>
        </w:tc>
        <w:tc>
          <w:tcPr>
            <w:tcW w:w="2227" w:type="dxa"/>
          </w:tcPr>
          <w:p w:rsidR="000142DF" w:rsidRPr="00F61B97" w:rsidRDefault="000237F7" w:rsidP="000237F7">
            <w:pPr>
              <w:pStyle w:val="NoSpacing"/>
              <w:rPr>
                <w:rFonts w:ascii="Times New Roman" w:hAnsi="Times New Roman" w:cs="Times New Roman"/>
                <w:sz w:val="20"/>
                <w:szCs w:val="20"/>
              </w:rPr>
            </w:pPr>
            <w:r>
              <w:rPr>
                <w:rFonts w:ascii="Times New Roman" w:hAnsi="Times New Roman" w:cs="Times New Roman"/>
                <w:sz w:val="20"/>
                <w:szCs w:val="20"/>
              </w:rPr>
              <w:t>P</w:t>
            </w:r>
            <w:r w:rsidR="000142DF" w:rsidRPr="00F61B97">
              <w:rPr>
                <w:rFonts w:ascii="Times New Roman" w:hAnsi="Times New Roman" w:cs="Times New Roman"/>
                <w:sz w:val="20"/>
                <w:szCs w:val="20"/>
              </w:rPr>
              <w:t>rovide</w:t>
            </w:r>
            <w:r>
              <w:rPr>
                <w:rFonts w:ascii="Times New Roman" w:hAnsi="Times New Roman" w:cs="Times New Roman"/>
                <w:sz w:val="20"/>
                <w:szCs w:val="20"/>
              </w:rPr>
              <w:t>s</w:t>
            </w:r>
            <w:r w:rsidR="000142DF" w:rsidRPr="00F61B97">
              <w:rPr>
                <w:rFonts w:ascii="Times New Roman" w:hAnsi="Times New Roman" w:cs="Times New Roman"/>
                <w:sz w:val="20"/>
                <w:szCs w:val="20"/>
              </w:rPr>
              <w:t xml:space="preserve"> useful information </w:t>
            </w:r>
          </w:p>
        </w:tc>
        <w:tc>
          <w:tcPr>
            <w:tcW w:w="2228" w:type="dxa"/>
          </w:tcPr>
          <w:p w:rsidR="000142DF" w:rsidRPr="00F61B97" w:rsidRDefault="000237F7" w:rsidP="00F61B97">
            <w:pPr>
              <w:pStyle w:val="NoSpacing"/>
              <w:rPr>
                <w:rFonts w:ascii="Times New Roman" w:hAnsi="Times New Roman" w:cs="Times New Roman"/>
                <w:sz w:val="20"/>
                <w:szCs w:val="20"/>
              </w:rPr>
            </w:pPr>
            <w:r>
              <w:rPr>
                <w:rFonts w:ascii="Times New Roman" w:hAnsi="Times New Roman" w:cs="Times New Roman"/>
                <w:sz w:val="20"/>
                <w:szCs w:val="20"/>
              </w:rPr>
              <w:t xml:space="preserve">Value is limited </w:t>
            </w: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 xml:space="preserve">Would be able to use a method that allows for evaluation of biological </w:t>
            </w:r>
            <w:r w:rsidR="00F61B97" w:rsidRPr="00F61B97">
              <w:rPr>
                <w:rFonts w:ascii="Times New Roman" w:hAnsi="Times New Roman" w:cs="Times New Roman"/>
                <w:sz w:val="20"/>
                <w:szCs w:val="20"/>
              </w:rPr>
              <w:t>responses</w:t>
            </w: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 xml:space="preserve">Good for crediting and identifying values as applied to target species </w:t>
            </w:r>
          </w:p>
        </w:tc>
        <w:tc>
          <w:tcPr>
            <w:tcW w:w="2228" w:type="dxa"/>
          </w:tcPr>
          <w:p w:rsidR="000142DF" w:rsidRPr="00F61B97" w:rsidRDefault="004D0EB3"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N</w:t>
            </w:r>
            <w:r w:rsidR="000142DF" w:rsidRPr="00F61B97">
              <w:rPr>
                <w:rFonts w:ascii="Times New Roman" w:hAnsi="Times New Roman" w:cs="Times New Roman"/>
                <w:sz w:val="20"/>
                <w:szCs w:val="20"/>
              </w:rPr>
              <w:t>ot all managers agree with this characterization</w:t>
            </w: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p>
        </w:tc>
        <w:tc>
          <w:tcPr>
            <w:tcW w:w="2227"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8"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7"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8"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r w:rsidRPr="00F61B97">
              <w:rPr>
                <w:rFonts w:ascii="Times New Roman" w:hAnsi="Times New Roman" w:cs="Times New Roman"/>
                <w:b/>
                <w:sz w:val="20"/>
                <w:szCs w:val="20"/>
              </w:rPr>
              <w:t>Alternatives</w:t>
            </w: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Modified HEP (regional habitat values, ocular HEP)</w:t>
            </w:r>
          </w:p>
        </w:tc>
        <w:tc>
          <w:tcPr>
            <w:tcW w:w="2228" w:type="dxa"/>
          </w:tcPr>
          <w:p w:rsidR="000142DF" w:rsidRPr="00F61B97" w:rsidRDefault="00216305"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Use full version including monitoring</w:t>
            </w: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CHAP</w:t>
            </w: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IBI</w:t>
            </w: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CHAT</w:t>
            </w: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Remote Sensing</w:t>
            </w: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b/>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Acres</w:t>
            </w:r>
            <w:r w:rsidR="00216305" w:rsidRPr="00F61B97">
              <w:rPr>
                <w:rFonts w:ascii="Times New Roman" w:hAnsi="Times New Roman" w:cs="Times New Roman"/>
                <w:sz w:val="20"/>
                <w:szCs w:val="20"/>
              </w:rPr>
              <w:t>/RVI</w:t>
            </w: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Existing tools used by FERC projects</w:t>
            </w:r>
          </w:p>
        </w:tc>
        <w:tc>
          <w:tcPr>
            <w:tcW w:w="2228" w:type="dxa"/>
          </w:tcPr>
          <w:p w:rsidR="000142DF" w:rsidRPr="00F61B97" w:rsidRDefault="000142DF" w:rsidP="00F61B97">
            <w:pPr>
              <w:pStyle w:val="NoSpacing"/>
              <w:rPr>
                <w:rFonts w:ascii="Times New Roman" w:hAnsi="Times New Roman" w:cs="Times New Roman"/>
                <w:sz w:val="20"/>
                <w:szCs w:val="20"/>
              </w:rPr>
            </w:pP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Settlements</w:t>
            </w:r>
            <w:r w:rsidR="00216305" w:rsidRPr="00F61B97">
              <w:rPr>
                <w:rFonts w:ascii="Times New Roman" w:hAnsi="Times New Roman" w:cs="Times New Roman"/>
                <w:sz w:val="20"/>
                <w:szCs w:val="20"/>
              </w:rPr>
              <w:t>/Agreements</w:t>
            </w:r>
            <w:r w:rsidRPr="00F61B97">
              <w:rPr>
                <w:rFonts w:ascii="Times New Roman" w:hAnsi="Times New Roman" w:cs="Times New Roman"/>
                <w:sz w:val="20"/>
                <w:szCs w:val="20"/>
              </w:rPr>
              <w:t xml:space="preserve"> – (regiona</w:t>
            </w:r>
            <w:r w:rsidR="00216305" w:rsidRPr="00F61B97">
              <w:rPr>
                <w:rFonts w:ascii="Times New Roman" w:hAnsi="Times New Roman" w:cs="Times New Roman"/>
                <w:sz w:val="20"/>
                <w:szCs w:val="20"/>
              </w:rPr>
              <w:t>l, individual, capitalization</w:t>
            </w:r>
            <w:r w:rsidR="00504AB1">
              <w:rPr>
                <w:rFonts w:ascii="Times New Roman" w:hAnsi="Times New Roman" w:cs="Times New Roman"/>
                <w:sz w:val="20"/>
                <w:szCs w:val="20"/>
              </w:rPr>
              <w:t xml:space="preserve"> </w:t>
            </w:r>
            <w:r w:rsidR="00216305" w:rsidRPr="00F61B97">
              <w:rPr>
                <w:rFonts w:ascii="Times New Roman" w:hAnsi="Times New Roman" w:cs="Times New Roman"/>
                <w:sz w:val="20"/>
                <w:szCs w:val="20"/>
              </w:rPr>
              <w:t xml:space="preserve">(e.g., </w:t>
            </w:r>
            <w:proofErr w:type="spellStart"/>
            <w:r w:rsidR="00216305" w:rsidRPr="00F61B97">
              <w:rPr>
                <w:rFonts w:ascii="Times New Roman" w:hAnsi="Times New Roman" w:cs="Times New Roman"/>
                <w:sz w:val="20"/>
                <w:szCs w:val="20"/>
              </w:rPr>
              <w:t>Williamette</w:t>
            </w:r>
            <w:proofErr w:type="spellEnd"/>
            <w:r w:rsidR="00216305" w:rsidRPr="00F61B97">
              <w:rPr>
                <w:rFonts w:ascii="Times New Roman" w:hAnsi="Times New Roman" w:cs="Times New Roman"/>
                <w:sz w:val="20"/>
                <w:szCs w:val="20"/>
              </w:rPr>
              <w:t xml:space="preserve"> River)</w:t>
            </w:r>
            <w:r w:rsidR="004D0EB3" w:rsidRPr="00F61B97">
              <w:rPr>
                <w:rFonts w:ascii="Times New Roman" w:hAnsi="Times New Roman" w:cs="Times New Roman"/>
                <w:b/>
                <w:sz w:val="20"/>
                <w:szCs w:val="20"/>
              </w:rPr>
              <w:t xml:space="preserve"> BPA has developed a template that they will be providing</w:t>
            </w:r>
          </w:p>
        </w:tc>
        <w:tc>
          <w:tcPr>
            <w:tcW w:w="2228" w:type="dxa"/>
          </w:tcPr>
          <w:p w:rsidR="000142DF" w:rsidRPr="00F61B97" w:rsidRDefault="000142DF" w:rsidP="00504AB1">
            <w:pPr>
              <w:pStyle w:val="NoSpacing"/>
              <w:rPr>
                <w:rFonts w:ascii="Times New Roman" w:hAnsi="Times New Roman" w:cs="Times New Roman"/>
                <w:sz w:val="20"/>
                <w:szCs w:val="20"/>
              </w:rPr>
            </w:pPr>
            <w:r w:rsidRPr="00F61B97">
              <w:rPr>
                <w:rFonts w:ascii="Times New Roman" w:hAnsi="Times New Roman" w:cs="Times New Roman"/>
                <w:sz w:val="20"/>
                <w:szCs w:val="20"/>
              </w:rPr>
              <w:t xml:space="preserve">How would you  address facilities with multiple entities (e.g., </w:t>
            </w:r>
            <w:proofErr w:type="spellStart"/>
            <w:r w:rsidRPr="00F61B97">
              <w:rPr>
                <w:rFonts w:ascii="Times New Roman" w:hAnsi="Times New Roman" w:cs="Times New Roman"/>
                <w:sz w:val="20"/>
                <w:szCs w:val="20"/>
              </w:rPr>
              <w:t>McNary</w:t>
            </w:r>
            <w:proofErr w:type="spellEnd"/>
            <w:r w:rsidRPr="00F61B97">
              <w:rPr>
                <w:rFonts w:ascii="Times New Roman" w:hAnsi="Times New Roman" w:cs="Times New Roman"/>
                <w:sz w:val="20"/>
                <w:szCs w:val="20"/>
              </w:rPr>
              <w:t>)</w:t>
            </w: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Timing could lead to bow wave</w:t>
            </w: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216305"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 xml:space="preserve">O&amp;M </w:t>
            </w:r>
            <w:r w:rsidR="000142DF" w:rsidRPr="00F61B97">
              <w:rPr>
                <w:rFonts w:ascii="Times New Roman" w:hAnsi="Times New Roman" w:cs="Times New Roman"/>
                <w:sz w:val="20"/>
                <w:szCs w:val="20"/>
              </w:rPr>
              <w:t xml:space="preserve">Stewardship agreements do not need </w:t>
            </w:r>
            <w:r w:rsidRPr="00F61B97">
              <w:rPr>
                <w:rFonts w:ascii="Times New Roman" w:hAnsi="Times New Roman" w:cs="Times New Roman"/>
                <w:sz w:val="20"/>
                <w:szCs w:val="20"/>
              </w:rPr>
              <w:t xml:space="preserve">crediting, use of acres and dollars  </w:t>
            </w:r>
            <w:r w:rsidR="00F61B97" w:rsidRPr="00F61B97">
              <w:rPr>
                <w:rFonts w:ascii="Times New Roman" w:hAnsi="Times New Roman" w:cs="Times New Roman"/>
                <w:sz w:val="20"/>
                <w:szCs w:val="20"/>
              </w:rPr>
              <w:t>(negotiate lump sum (earn interest) so can operate and maintain property at a reasonable level)</w:t>
            </w:r>
          </w:p>
        </w:tc>
      </w:tr>
      <w:tr w:rsidR="000142DF" w:rsidRPr="00F61B97" w:rsidTr="000237F7">
        <w:tc>
          <w:tcPr>
            <w:tcW w:w="1278" w:type="dxa"/>
            <w:shd w:val="clear" w:color="auto" w:fill="D9D9D9" w:themeFill="background1" w:themeFillShade="D9"/>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0142DF" w:rsidP="00F61B97">
            <w:pPr>
              <w:pStyle w:val="NoSpacing"/>
              <w:rPr>
                <w:rFonts w:ascii="Times New Roman" w:hAnsi="Times New Roman" w:cs="Times New Roman"/>
                <w:sz w:val="20"/>
                <w:szCs w:val="20"/>
              </w:rPr>
            </w:pPr>
          </w:p>
        </w:tc>
        <w:tc>
          <w:tcPr>
            <w:tcW w:w="2227" w:type="dxa"/>
          </w:tcPr>
          <w:p w:rsidR="000142DF" w:rsidRPr="00F61B97" w:rsidRDefault="000142DF" w:rsidP="00F61B97">
            <w:pPr>
              <w:pStyle w:val="NoSpacing"/>
              <w:rPr>
                <w:rFonts w:ascii="Times New Roman" w:hAnsi="Times New Roman" w:cs="Times New Roman"/>
                <w:sz w:val="20"/>
                <w:szCs w:val="20"/>
              </w:rPr>
            </w:pPr>
          </w:p>
        </w:tc>
        <w:tc>
          <w:tcPr>
            <w:tcW w:w="2228" w:type="dxa"/>
          </w:tcPr>
          <w:p w:rsidR="000142DF" w:rsidRPr="00F61B97" w:rsidRDefault="00216305" w:rsidP="00F61B97">
            <w:pPr>
              <w:pStyle w:val="NoSpacing"/>
              <w:rPr>
                <w:rFonts w:ascii="Times New Roman" w:hAnsi="Times New Roman" w:cs="Times New Roman"/>
                <w:sz w:val="20"/>
                <w:szCs w:val="20"/>
              </w:rPr>
            </w:pPr>
            <w:r w:rsidRPr="00F61B97">
              <w:rPr>
                <w:rFonts w:ascii="Times New Roman" w:hAnsi="Times New Roman" w:cs="Times New Roman"/>
                <w:sz w:val="20"/>
                <w:szCs w:val="20"/>
              </w:rPr>
              <w:t>Equity issue</w:t>
            </w:r>
          </w:p>
        </w:tc>
      </w:tr>
    </w:tbl>
    <w:p w:rsidR="00F11E8C" w:rsidRDefault="00F11E8C" w:rsidP="00F61B97">
      <w:pPr>
        <w:pStyle w:val="NoSpacing"/>
        <w:rPr>
          <w:rFonts w:ascii="Times New Roman" w:hAnsi="Times New Roman" w:cs="Times New Roman"/>
          <w:sz w:val="20"/>
          <w:szCs w:val="20"/>
        </w:rPr>
      </w:pPr>
    </w:p>
    <w:p w:rsidR="00504AB1" w:rsidRDefault="00504AB1" w:rsidP="00F61B97">
      <w:pPr>
        <w:pStyle w:val="NoSpacing"/>
        <w:rPr>
          <w:rFonts w:ascii="Times New Roman" w:hAnsi="Times New Roman" w:cs="Times New Roman"/>
          <w:sz w:val="20"/>
          <w:szCs w:val="20"/>
        </w:rPr>
      </w:pPr>
    </w:p>
    <w:p w:rsidR="00504AB1" w:rsidRDefault="00504AB1" w:rsidP="00F61B97">
      <w:pPr>
        <w:pStyle w:val="NoSpacing"/>
        <w:rPr>
          <w:rFonts w:ascii="Times New Roman" w:hAnsi="Times New Roman" w:cs="Times New Roman"/>
          <w:sz w:val="20"/>
          <w:szCs w:val="20"/>
        </w:rPr>
      </w:pPr>
    </w:p>
    <w:p w:rsidR="00504AB1" w:rsidRDefault="00504AB1" w:rsidP="00F61B97">
      <w:pPr>
        <w:pStyle w:val="NoSpacing"/>
        <w:rPr>
          <w:rFonts w:ascii="Times New Roman" w:hAnsi="Times New Roman" w:cs="Times New Roman"/>
          <w:sz w:val="20"/>
          <w:szCs w:val="20"/>
        </w:rPr>
      </w:pPr>
    </w:p>
    <w:p w:rsidR="00504AB1" w:rsidRDefault="00504AB1" w:rsidP="00504AB1">
      <w:pPr>
        <w:pStyle w:val="NoSpacing"/>
        <w:jc w:val="center"/>
        <w:rPr>
          <w:rFonts w:ascii="Times New Roman" w:hAnsi="Times New Roman" w:cs="Times New Roman"/>
          <w:b/>
        </w:rPr>
      </w:pPr>
      <w:r w:rsidRPr="00504AB1">
        <w:rPr>
          <w:rFonts w:ascii="Times New Roman" w:hAnsi="Times New Roman" w:cs="Times New Roman"/>
          <w:b/>
        </w:rPr>
        <w:t>ATTACHMENT 3</w:t>
      </w:r>
    </w:p>
    <w:p w:rsidR="00FB1AC8" w:rsidRDefault="00FB1AC8" w:rsidP="00504AB1">
      <w:pPr>
        <w:pStyle w:val="NoSpacing"/>
        <w:jc w:val="center"/>
        <w:rPr>
          <w:rFonts w:ascii="Times New Roman" w:hAnsi="Times New Roman" w:cs="Times New Roman"/>
          <w:b/>
        </w:rPr>
      </w:pPr>
    </w:p>
    <w:tbl>
      <w:tblPr>
        <w:tblStyle w:val="TableGrid1"/>
        <w:tblW w:w="9735" w:type="dxa"/>
        <w:tblInd w:w="0" w:type="dxa"/>
        <w:tblLayout w:type="fixed"/>
        <w:tblLook w:val="04A0" w:firstRow="1" w:lastRow="0" w:firstColumn="1" w:lastColumn="0" w:noHBand="0" w:noVBand="1"/>
      </w:tblPr>
      <w:tblGrid>
        <w:gridCol w:w="1046"/>
        <w:gridCol w:w="1047"/>
        <w:gridCol w:w="1164"/>
        <w:gridCol w:w="1080"/>
        <w:gridCol w:w="1530"/>
        <w:gridCol w:w="1799"/>
        <w:gridCol w:w="2069"/>
      </w:tblGrid>
      <w:tr w:rsidR="00FB1AC8" w:rsidRPr="00FB1AC8" w:rsidTr="00FB1AC8">
        <w:tc>
          <w:tcPr>
            <w:tcW w:w="9738" w:type="dxa"/>
            <w:gridSpan w:val="7"/>
            <w:tcBorders>
              <w:top w:val="single" w:sz="4" w:space="0" w:color="auto"/>
              <w:left w:val="single" w:sz="4" w:space="0" w:color="auto"/>
              <w:bottom w:val="single" w:sz="4" w:space="0" w:color="auto"/>
              <w:right w:val="single" w:sz="4" w:space="0" w:color="auto"/>
            </w:tcBorders>
            <w:hideMark/>
          </w:tcPr>
          <w:p w:rsidR="00FB1AC8" w:rsidRPr="00FB1AC8" w:rsidRDefault="00FB1AC8" w:rsidP="00FB1AC8">
            <w:pPr>
              <w:jc w:val="center"/>
              <w:rPr>
                <w:rFonts w:ascii="Times New Roman" w:hAnsi="Times New Roman"/>
                <w:b/>
                <w:sz w:val="18"/>
                <w:szCs w:val="18"/>
              </w:rPr>
            </w:pPr>
            <w:r w:rsidRPr="00FB1AC8">
              <w:rPr>
                <w:rFonts w:ascii="Times New Roman" w:hAnsi="Times New Roman"/>
                <w:b/>
                <w:sz w:val="18"/>
                <w:szCs w:val="18"/>
              </w:rPr>
              <w:t>ISSUES</w:t>
            </w:r>
          </w:p>
        </w:tc>
      </w:tr>
      <w:tr w:rsidR="00FB1AC8" w:rsidRPr="00FB1AC8" w:rsidTr="00FB1AC8">
        <w:tc>
          <w:tcPr>
            <w:tcW w:w="1047" w:type="dxa"/>
            <w:tcBorders>
              <w:top w:val="single" w:sz="4" w:space="0" w:color="auto"/>
              <w:left w:val="single" w:sz="4" w:space="0" w:color="auto"/>
              <w:bottom w:val="single" w:sz="4" w:space="0" w:color="auto"/>
              <w:right w:val="single" w:sz="4" w:space="0" w:color="auto"/>
            </w:tcBorders>
            <w:hideMark/>
          </w:tcPr>
          <w:p w:rsidR="00FB1AC8" w:rsidRPr="00FB1AC8" w:rsidRDefault="00FB1AC8" w:rsidP="00FB1AC8">
            <w:pPr>
              <w:jc w:val="center"/>
              <w:rPr>
                <w:rFonts w:ascii="Times New Roman" w:hAnsi="Times New Roman"/>
                <w:sz w:val="18"/>
                <w:szCs w:val="18"/>
              </w:rPr>
            </w:pPr>
            <w:r w:rsidRPr="00FB1AC8">
              <w:rPr>
                <w:rFonts w:ascii="Times New Roman" w:hAnsi="Times New Roman"/>
                <w:sz w:val="18"/>
                <w:szCs w:val="18"/>
              </w:rPr>
              <w:t>Transfer to Mitigation (land ownership)</w:t>
            </w:r>
          </w:p>
        </w:tc>
        <w:tc>
          <w:tcPr>
            <w:tcW w:w="1047" w:type="dxa"/>
            <w:tcBorders>
              <w:top w:val="single" w:sz="4" w:space="0" w:color="auto"/>
              <w:left w:val="single" w:sz="4" w:space="0" w:color="auto"/>
              <w:bottom w:val="single" w:sz="4" w:space="0" w:color="auto"/>
              <w:right w:val="single" w:sz="4" w:space="0" w:color="auto"/>
            </w:tcBorders>
            <w:hideMark/>
          </w:tcPr>
          <w:p w:rsidR="00FB1AC8" w:rsidRPr="00FB1AC8" w:rsidRDefault="00FB1AC8" w:rsidP="00FB1AC8">
            <w:pPr>
              <w:jc w:val="center"/>
              <w:rPr>
                <w:rFonts w:ascii="Times New Roman" w:hAnsi="Times New Roman"/>
                <w:sz w:val="18"/>
                <w:szCs w:val="18"/>
              </w:rPr>
            </w:pPr>
            <w:r w:rsidRPr="00FB1AC8">
              <w:rPr>
                <w:rFonts w:ascii="Times New Roman" w:hAnsi="Times New Roman"/>
                <w:sz w:val="18"/>
                <w:szCs w:val="18"/>
              </w:rPr>
              <w:t>Timing</w:t>
            </w:r>
          </w:p>
        </w:tc>
        <w:tc>
          <w:tcPr>
            <w:tcW w:w="1164" w:type="dxa"/>
            <w:tcBorders>
              <w:top w:val="single" w:sz="4" w:space="0" w:color="auto"/>
              <w:left w:val="single" w:sz="4" w:space="0" w:color="auto"/>
              <w:bottom w:val="single" w:sz="4" w:space="0" w:color="auto"/>
              <w:right w:val="single" w:sz="4" w:space="0" w:color="auto"/>
            </w:tcBorders>
            <w:hideMark/>
          </w:tcPr>
          <w:p w:rsidR="00FB1AC8" w:rsidRPr="00FB1AC8" w:rsidRDefault="00FB1AC8" w:rsidP="00FB1AC8">
            <w:pPr>
              <w:jc w:val="center"/>
              <w:rPr>
                <w:rFonts w:ascii="Times New Roman" w:hAnsi="Times New Roman"/>
                <w:sz w:val="18"/>
                <w:szCs w:val="18"/>
              </w:rPr>
            </w:pPr>
            <w:r w:rsidRPr="00FB1AC8">
              <w:rPr>
                <w:rFonts w:ascii="Times New Roman" w:hAnsi="Times New Roman"/>
                <w:sz w:val="18"/>
                <w:szCs w:val="18"/>
              </w:rPr>
              <w:t xml:space="preserve">RFP </w:t>
            </w:r>
          </w:p>
          <w:p w:rsidR="00FB1AC8" w:rsidRPr="00FB1AC8" w:rsidRDefault="00FB1AC8" w:rsidP="00FB1AC8">
            <w:pPr>
              <w:rPr>
                <w:rFonts w:ascii="Times New Roman" w:hAnsi="Times New Roman"/>
                <w:sz w:val="18"/>
                <w:szCs w:val="18"/>
              </w:rPr>
            </w:pPr>
            <w:r w:rsidRPr="00FB1AC8">
              <w:rPr>
                <w:rFonts w:ascii="Times New Roman" w:hAnsi="Times New Roman"/>
                <w:sz w:val="18"/>
                <w:szCs w:val="18"/>
              </w:rPr>
              <w:t xml:space="preserve">characterize </w:t>
            </w:r>
            <w:proofErr w:type="spellStart"/>
            <w:r w:rsidRPr="00FB1AC8">
              <w:rPr>
                <w:rFonts w:ascii="Times New Roman" w:hAnsi="Times New Roman"/>
                <w:sz w:val="18"/>
                <w:szCs w:val="18"/>
              </w:rPr>
              <w:t>hydrosystem</w:t>
            </w:r>
            <w:proofErr w:type="spellEnd"/>
          </w:p>
          <w:p w:rsidR="00FB1AC8" w:rsidRPr="00FB1AC8" w:rsidRDefault="00FB1AC8" w:rsidP="00FB1AC8">
            <w:pPr>
              <w:rPr>
                <w:rFonts w:ascii="Times New Roman" w:hAnsi="Times New Roman"/>
                <w:sz w:val="18"/>
                <w:szCs w:val="18"/>
              </w:rPr>
            </w:pPr>
            <w:proofErr w:type="spellStart"/>
            <w:r w:rsidRPr="00FB1AC8">
              <w:rPr>
                <w:rFonts w:ascii="Times New Roman" w:hAnsi="Times New Roman"/>
                <w:sz w:val="18"/>
                <w:szCs w:val="18"/>
              </w:rPr>
              <w:t>systemwide</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FB1AC8" w:rsidRPr="00FB1AC8" w:rsidRDefault="00FB1AC8" w:rsidP="00FB1AC8">
            <w:pPr>
              <w:jc w:val="center"/>
              <w:rPr>
                <w:rFonts w:ascii="Times New Roman" w:hAnsi="Times New Roman"/>
                <w:sz w:val="18"/>
                <w:szCs w:val="18"/>
              </w:rPr>
            </w:pPr>
            <w:r w:rsidRPr="00FB1AC8">
              <w:rPr>
                <w:rFonts w:ascii="Times New Roman" w:hAnsi="Times New Roman"/>
                <w:sz w:val="18"/>
                <w:szCs w:val="18"/>
              </w:rPr>
              <w:t>Off-site mitigation</w:t>
            </w:r>
          </w:p>
        </w:tc>
        <w:tc>
          <w:tcPr>
            <w:tcW w:w="1530" w:type="dxa"/>
            <w:tcBorders>
              <w:top w:val="single" w:sz="4" w:space="0" w:color="auto"/>
              <w:left w:val="single" w:sz="4" w:space="0" w:color="auto"/>
              <w:bottom w:val="single" w:sz="4" w:space="0" w:color="auto"/>
              <w:right w:val="single" w:sz="4" w:space="0" w:color="auto"/>
            </w:tcBorders>
            <w:hideMark/>
          </w:tcPr>
          <w:p w:rsidR="00FB1AC8" w:rsidRPr="00FB1AC8" w:rsidRDefault="00FB1AC8" w:rsidP="00FB1AC8">
            <w:pPr>
              <w:jc w:val="center"/>
              <w:rPr>
                <w:rFonts w:ascii="Times New Roman" w:hAnsi="Times New Roman"/>
                <w:sz w:val="18"/>
                <w:szCs w:val="18"/>
              </w:rPr>
            </w:pPr>
            <w:r w:rsidRPr="00FB1AC8">
              <w:rPr>
                <w:rFonts w:ascii="Times New Roman" w:hAnsi="Times New Roman"/>
                <w:sz w:val="18"/>
                <w:szCs w:val="18"/>
              </w:rPr>
              <w:t>Relationship to fish mitigation</w:t>
            </w:r>
          </w:p>
        </w:tc>
        <w:tc>
          <w:tcPr>
            <w:tcW w:w="3870" w:type="dxa"/>
            <w:gridSpan w:val="2"/>
            <w:tcBorders>
              <w:top w:val="single" w:sz="4" w:space="0" w:color="auto"/>
              <w:left w:val="single" w:sz="4" w:space="0" w:color="auto"/>
              <w:bottom w:val="single" w:sz="4" w:space="0" w:color="auto"/>
              <w:right w:val="single" w:sz="4" w:space="0" w:color="auto"/>
            </w:tcBorders>
            <w:hideMark/>
          </w:tcPr>
          <w:p w:rsidR="00FB1AC8" w:rsidRPr="00FB1AC8" w:rsidRDefault="00FB1AC8" w:rsidP="00FB1AC8">
            <w:pPr>
              <w:jc w:val="center"/>
              <w:rPr>
                <w:rFonts w:ascii="Times New Roman" w:hAnsi="Times New Roman"/>
                <w:sz w:val="18"/>
                <w:szCs w:val="18"/>
              </w:rPr>
            </w:pPr>
            <w:r w:rsidRPr="00FB1AC8">
              <w:rPr>
                <w:rFonts w:ascii="Times New Roman" w:hAnsi="Times New Roman"/>
                <w:sz w:val="18"/>
                <w:szCs w:val="18"/>
              </w:rPr>
              <w:t>Transferability</w:t>
            </w:r>
          </w:p>
        </w:tc>
      </w:tr>
      <w:tr w:rsidR="00FB1AC8" w:rsidRPr="00FB1AC8" w:rsidTr="00FB1AC8">
        <w:tc>
          <w:tcPr>
            <w:tcW w:w="1047"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047"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164"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800" w:type="dxa"/>
            <w:tcBorders>
              <w:top w:val="single" w:sz="4" w:space="0" w:color="auto"/>
              <w:left w:val="single" w:sz="4" w:space="0" w:color="auto"/>
              <w:bottom w:val="single" w:sz="4" w:space="0" w:color="auto"/>
              <w:right w:val="single" w:sz="4" w:space="0" w:color="auto"/>
            </w:tcBorders>
            <w:hideMark/>
          </w:tcPr>
          <w:p w:rsidR="00FB1AC8" w:rsidRPr="00FB1AC8" w:rsidRDefault="00FB1AC8" w:rsidP="00FB1AC8">
            <w:pPr>
              <w:rPr>
                <w:rFonts w:ascii="Times New Roman" w:hAnsi="Times New Roman"/>
                <w:sz w:val="18"/>
                <w:szCs w:val="18"/>
              </w:rPr>
            </w:pPr>
            <w:r w:rsidRPr="00FB1AC8">
              <w:rPr>
                <w:rFonts w:ascii="Times New Roman" w:hAnsi="Times New Roman"/>
                <w:sz w:val="18"/>
                <w:szCs w:val="18"/>
              </w:rPr>
              <w:t>Other systems</w:t>
            </w:r>
          </w:p>
        </w:tc>
        <w:tc>
          <w:tcPr>
            <w:tcW w:w="2070" w:type="dxa"/>
            <w:tcBorders>
              <w:top w:val="single" w:sz="4" w:space="0" w:color="auto"/>
              <w:left w:val="single" w:sz="4" w:space="0" w:color="auto"/>
              <w:bottom w:val="single" w:sz="4" w:space="0" w:color="auto"/>
              <w:right w:val="single" w:sz="4" w:space="0" w:color="auto"/>
            </w:tcBorders>
            <w:hideMark/>
          </w:tcPr>
          <w:p w:rsidR="00FB1AC8" w:rsidRPr="00FB1AC8" w:rsidRDefault="00FB1AC8" w:rsidP="00FB1AC8">
            <w:pPr>
              <w:rPr>
                <w:rFonts w:ascii="Times New Roman" w:hAnsi="Times New Roman"/>
                <w:sz w:val="18"/>
                <w:szCs w:val="18"/>
              </w:rPr>
            </w:pPr>
            <w:r w:rsidRPr="00FB1AC8">
              <w:rPr>
                <w:rFonts w:ascii="Times New Roman" w:hAnsi="Times New Roman"/>
                <w:sz w:val="18"/>
                <w:szCs w:val="18"/>
              </w:rPr>
              <w:t>Other systems with bird data/hydrological data</w:t>
            </w:r>
          </w:p>
        </w:tc>
      </w:tr>
      <w:tr w:rsidR="00FB1AC8" w:rsidRPr="00FB1AC8" w:rsidTr="00FB1AC8">
        <w:tc>
          <w:tcPr>
            <w:tcW w:w="1047"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047"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164"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2070" w:type="dxa"/>
            <w:tcBorders>
              <w:top w:val="single" w:sz="4" w:space="0" w:color="auto"/>
              <w:left w:val="single" w:sz="4" w:space="0" w:color="auto"/>
              <w:bottom w:val="single" w:sz="4" w:space="0" w:color="auto"/>
              <w:right w:val="single" w:sz="4" w:space="0" w:color="auto"/>
            </w:tcBorders>
            <w:hideMark/>
          </w:tcPr>
          <w:p w:rsidR="00FB1AC8" w:rsidRPr="00FB1AC8" w:rsidRDefault="00FB1AC8" w:rsidP="00FB1AC8">
            <w:pPr>
              <w:rPr>
                <w:rFonts w:ascii="Times New Roman" w:hAnsi="Times New Roman"/>
                <w:sz w:val="18"/>
                <w:szCs w:val="18"/>
              </w:rPr>
            </w:pPr>
            <w:r w:rsidRPr="00FB1AC8">
              <w:rPr>
                <w:rFonts w:ascii="Times New Roman" w:hAnsi="Times New Roman"/>
                <w:sz w:val="18"/>
                <w:szCs w:val="18"/>
              </w:rPr>
              <w:t>Identify potential projects</w:t>
            </w:r>
          </w:p>
        </w:tc>
      </w:tr>
      <w:tr w:rsidR="00FB1AC8" w:rsidRPr="00FB1AC8" w:rsidTr="00FB1AC8">
        <w:tc>
          <w:tcPr>
            <w:tcW w:w="1047"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047"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164"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207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r>
      <w:tr w:rsidR="00FB1AC8" w:rsidRPr="00FB1AC8" w:rsidTr="00FB1AC8">
        <w:tc>
          <w:tcPr>
            <w:tcW w:w="20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AC8" w:rsidRPr="00FB1AC8" w:rsidRDefault="00FB1AC8" w:rsidP="00FB1AC8">
            <w:pPr>
              <w:jc w:val="center"/>
              <w:rPr>
                <w:rFonts w:ascii="Times New Roman" w:hAnsi="Times New Roman"/>
                <w:sz w:val="18"/>
                <w:szCs w:val="18"/>
              </w:rPr>
            </w:pPr>
            <w:r w:rsidRPr="00FB1AC8">
              <w:rPr>
                <w:rFonts w:ascii="Times New Roman" w:hAnsi="Times New Roman"/>
                <w:sz w:val="18"/>
                <w:szCs w:val="18"/>
              </w:rPr>
              <w:t>Methods</w:t>
            </w:r>
          </w:p>
        </w:tc>
        <w:tc>
          <w:tcPr>
            <w:tcW w:w="1164"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207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r>
      <w:tr w:rsidR="00FB1AC8" w:rsidRPr="00FB1AC8" w:rsidTr="00FB1AC8">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AC8" w:rsidRPr="00FB1AC8" w:rsidRDefault="00FB1AC8" w:rsidP="00FB1AC8">
            <w:pPr>
              <w:jc w:val="center"/>
              <w:rPr>
                <w:rFonts w:ascii="Times New Roman" w:hAnsi="Times New Roman"/>
                <w:sz w:val="18"/>
                <w:szCs w:val="18"/>
              </w:rPr>
            </w:pPr>
            <w:r w:rsidRPr="00FB1AC8">
              <w:rPr>
                <w:rFonts w:ascii="Times New Roman" w:hAnsi="Times New Roman"/>
                <w:sz w:val="18"/>
                <w:szCs w:val="18"/>
              </w:rPr>
              <w:t>IBI</w:t>
            </w:r>
          </w:p>
        </w:tc>
        <w:tc>
          <w:tcPr>
            <w:tcW w:w="1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AC8" w:rsidRPr="00FB1AC8" w:rsidRDefault="00FB1AC8" w:rsidP="00FB1AC8">
            <w:pPr>
              <w:jc w:val="center"/>
              <w:rPr>
                <w:rFonts w:ascii="Times New Roman" w:hAnsi="Times New Roman"/>
                <w:sz w:val="18"/>
                <w:szCs w:val="18"/>
              </w:rPr>
            </w:pPr>
            <w:r w:rsidRPr="00FB1AC8">
              <w:rPr>
                <w:rFonts w:ascii="Times New Roman" w:hAnsi="Times New Roman"/>
                <w:sz w:val="18"/>
                <w:szCs w:val="18"/>
              </w:rPr>
              <w:t>CHAP</w:t>
            </w:r>
          </w:p>
        </w:tc>
        <w:tc>
          <w:tcPr>
            <w:tcW w:w="1164"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207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r>
      <w:tr w:rsidR="00FB1AC8" w:rsidRPr="00FB1AC8" w:rsidTr="00FB1AC8">
        <w:tc>
          <w:tcPr>
            <w:tcW w:w="209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AC8" w:rsidRPr="00FB1AC8" w:rsidRDefault="00FB1AC8" w:rsidP="00FB1AC8">
            <w:pPr>
              <w:rPr>
                <w:rFonts w:ascii="Times New Roman" w:hAnsi="Times New Roman"/>
                <w:sz w:val="18"/>
                <w:szCs w:val="18"/>
              </w:rPr>
            </w:pPr>
            <w:r w:rsidRPr="00FB1AC8">
              <w:rPr>
                <w:rFonts w:ascii="Times New Roman" w:hAnsi="Times New Roman"/>
                <w:sz w:val="18"/>
                <w:szCs w:val="18"/>
              </w:rPr>
              <w:t xml:space="preserve">Conduct a side-by-side comparison. Tom O’Neill will provide a CHAP presentation prior to the next meeting </w:t>
            </w:r>
          </w:p>
        </w:tc>
        <w:tc>
          <w:tcPr>
            <w:tcW w:w="1164"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207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r>
      <w:tr w:rsidR="00FB1AC8" w:rsidRPr="00FB1AC8" w:rsidTr="00FB1AC8">
        <w:tc>
          <w:tcPr>
            <w:tcW w:w="10785" w:type="dxa"/>
            <w:gridSpan w:val="2"/>
            <w:vMerge/>
            <w:tcBorders>
              <w:top w:val="single" w:sz="4" w:space="0" w:color="auto"/>
              <w:left w:val="single" w:sz="4" w:space="0" w:color="auto"/>
              <w:bottom w:val="single" w:sz="4" w:space="0" w:color="auto"/>
              <w:right w:val="single" w:sz="4" w:space="0" w:color="auto"/>
            </w:tcBorders>
            <w:vAlign w:val="center"/>
            <w:hideMark/>
          </w:tcPr>
          <w:p w:rsidR="00FB1AC8" w:rsidRPr="00FB1AC8" w:rsidRDefault="00FB1AC8" w:rsidP="00FB1AC8">
            <w:pPr>
              <w:rPr>
                <w:rFonts w:ascii="Times New Roman" w:hAnsi="Times New Roman"/>
                <w:sz w:val="18"/>
                <w:szCs w:val="18"/>
              </w:rPr>
            </w:pPr>
          </w:p>
        </w:tc>
        <w:tc>
          <w:tcPr>
            <w:tcW w:w="1164"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207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r>
      <w:tr w:rsidR="00FB1AC8" w:rsidRPr="00FB1AC8" w:rsidTr="00FB1AC8">
        <w:tc>
          <w:tcPr>
            <w:tcW w:w="10785" w:type="dxa"/>
            <w:gridSpan w:val="2"/>
            <w:vMerge/>
            <w:tcBorders>
              <w:top w:val="single" w:sz="4" w:space="0" w:color="auto"/>
              <w:left w:val="single" w:sz="4" w:space="0" w:color="auto"/>
              <w:bottom w:val="single" w:sz="4" w:space="0" w:color="auto"/>
              <w:right w:val="single" w:sz="4" w:space="0" w:color="auto"/>
            </w:tcBorders>
            <w:vAlign w:val="center"/>
            <w:hideMark/>
          </w:tcPr>
          <w:p w:rsidR="00FB1AC8" w:rsidRPr="00FB1AC8" w:rsidRDefault="00FB1AC8" w:rsidP="00FB1AC8">
            <w:pPr>
              <w:rPr>
                <w:rFonts w:ascii="Times New Roman" w:hAnsi="Times New Roman"/>
                <w:sz w:val="18"/>
                <w:szCs w:val="18"/>
              </w:rPr>
            </w:pPr>
          </w:p>
        </w:tc>
        <w:tc>
          <w:tcPr>
            <w:tcW w:w="1164"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53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180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c>
          <w:tcPr>
            <w:tcW w:w="2070" w:type="dxa"/>
            <w:tcBorders>
              <w:top w:val="single" w:sz="4" w:space="0" w:color="auto"/>
              <w:left w:val="single" w:sz="4" w:space="0" w:color="auto"/>
              <w:bottom w:val="single" w:sz="4" w:space="0" w:color="auto"/>
              <w:right w:val="single" w:sz="4" w:space="0" w:color="auto"/>
            </w:tcBorders>
          </w:tcPr>
          <w:p w:rsidR="00FB1AC8" w:rsidRPr="00FB1AC8" w:rsidRDefault="00FB1AC8" w:rsidP="00FB1AC8">
            <w:pPr>
              <w:jc w:val="center"/>
              <w:rPr>
                <w:rFonts w:ascii="Times New Roman" w:hAnsi="Times New Roman"/>
                <w:sz w:val="18"/>
                <w:szCs w:val="18"/>
              </w:rPr>
            </w:pPr>
          </w:p>
        </w:tc>
      </w:tr>
    </w:tbl>
    <w:p w:rsidR="00FB1AC8" w:rsidRPr="00504AB1" w:rsidRDefault="00FB1AC8" w:rsidP="00504AB1">
      <w:pPr>
        <w:pStyle w:val="NoSpacing"/>
        <w:jc w:val="center"/>
        <w:rPr>
          <w:rFonts w:ascii="Times New Roman" w:hAnsi="Times New Roman" w:cs="Times New Roman"/>
          <w:b/>
        </w:rPr>
      </w:pPr>
    </w:p>
    <w:sectPr w:rsidR="00FB1AC8" w:rsidRPr="00504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C76"/>
    <w:multiLevelType w:val="hybridMultilevel"/>
    <w:tmpl w:val="F27C0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5B0D30"/>
    <w:multiLevelType w:val="hybridMultilevel"/>
    <w:tmpl w:val="40DEF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56"/>
    <w:rsid w:val="000142DF"/>
    <w:rsid w:val="000237F7"/>
    <w:rsid w:val="000C7497"/>
    <w:rsid w:val="000E220E"/>
    <w:rsid w:val="00116520"/>
    <w:rsid w:val="00133BBF"/>
    <w:rsid w:val="0015129F"/>
    <w:rsid w:val="00151E2B"/>
    <w:rsid w:val="001A0CA3"/>
    <w:rsid w:val="001B010F"/>
    <w:rsid w:val="002148F3"/>
    <w:rsid w:val="00216305"/>
    <w:rsid w:val="00264618"/>
    <w:rsid w:val="002F04B7"/>
    <w:rsid w:val="00316BA3"/>
    <w:rsid w:val="00322411"/>
    <w:rsid w:val="0035442C"/>
    <w:rsid w:val="003670DD"/>
    <w:rsid w:val="004B5515"/>
    <w:rsid w:val="004D0EB3"/>
    <w:rsid w:val="004E4454"/>
    <w:rsid w:val="004F163A"/>
    <w:rsid w:val="00504AB1"/>
    <w:rsid w:val="00573F2C"/>
    <w:rsid w:val="005A03A8"/>
    <w:rsid w:val="005C2EDC"/>
    <w:rsid w:val="00625F97"/>
    <w:rsid w:val="00650561"/>
    <w:rsid w:val="0067440C"/>
    <w:rsid w:val="006C55CA"/>
    <w:rsid w:val="006E2E8B"/>
    <w:rsid w:val="007778A4"/>
    <w:rsid w:val="007864A4"/>
    <w:rsid w:val="007C3B31"/>
    <w:rsid w:val="00883599"/>
    <w:rsid w:val="008851D8"/>
    <w:rsid w:val="008960F9"/>
    <w:rsid w:val="008B6285"/>
    <w:rsid w:val="008D270A"/>
    <w:rsid w:val="009C180E"/>
    <w:rsid w:val="009F6368"/>
    <w:rsid w:val="00AA6B0E"/>
    <w:rsid w:val="00AB1994"/>
    <w:rsid w:val="00B67ADE"/>
    <w:rsid w:val="00B8759E"/>
    <w:rsid w:val="00C87531"/>
    <w:rsid w:val="00C96511"/>
    <w:rsid w:val="00CC0A7F"/>
    <w:rsid w:val="00D047AB"/>
    <w:rsid w:val="00D10C12"/>
    <w:rsid w:val="00D66ED4"/>
    <w:rsid w:val="00E15F71"/>
    <w:rsid w:val="00E254AE"/>
    <w:rsid w:val="00E827A5"/>
    <w:rsid w:val="00E9007F"/>
    <w:rsid w:val="00E91E8C"/>
    <w:rsid w:val="00F11E8C"/>
    <w:rsid w:val="00F24956"/>
    <w:rsid w:val="00F34E4B"/>
    <w:rsid w:val="00F61B97"/>
    <w:rsid w:val="00FA5CD6"/>
    <w:rsid w:val="00FB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A4"/>
    <w:pPr>
      <w:ind w:left="720"/>
      <w:contextualSpacing/>
    </w:pPr>
  </w:style>
  <w:style w:type="paragraph" w:styleId="NoSpacing">
    <w:name w:val="No Spacing"/>
    <w:uiPriority w:val="1"/>
    <w:qFormat/>
    <w:rsid w:val="00F61B97"/>
    <w:pPr>
      <w:spacing w:after="0" w:line="240" w:lineRule="auto"/>
    </w:pPr>
  </w:style>
  <w:style w:type="paragraph" w:styleId="BalloonText">
    <w:name w:val="Balloon Text"/>
    <w:basedOn w:val="Normal"/>
    <w:link w:val="BalloonTextChar"/>
    <w:uiPriority w:val="99"/>
    <w:semiHidden/>
    <w:unhideWhenUsed/>
    <w:rsid w:val="00151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29F"/>
    <w:rPr>
      <w:rFonts w:ascii="Tahoma" w:hAnsi="Tahoma" w:cs="Tahoma"/>
      <w:sz w:val="16"/>
      <w:szCs w:val="16"/>
    </w:rPr>
  </w:style>
  <w:style w:type="table" w:customStyle="1" w:styleId="TableGrid1">
    <w:name w:val="Table Grid1"/>
    <w:basedOn w:val="TableNormal"/>
    <w:next w:val="TableGrid"/>
    <w:uiPriority w:val="59"/>
    <w:rsid w:val="00FB1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4A4"/>
    <w:pPr>
      <w:ind w:left="720"/>
      <w:contextualSpacing/>
    </w:pPr>
  </w:style>
  <w:style w:type="paragraph" w:styleId="NoSpacing">
    <w:name w:val="No Spacing"/>
    <w:uiPriority w:val="1"/>
    <w:qFormat/>
    <w:rsid w:val="00F61B97"/>
    <w:pPr>
      <w:spacing w:after="0" w:line="240" w:lineRule="auto"/>
    </w:pPr>
  </w:style>
  <w:style w:type="paragraph" w:styleId="BalloonText">
    <w:name w:val="Balloon Text"/>
    <w:basedOn w:val="Normal"/>
    <w:link w:val="BalloonTextChar"/>
    <w:uiPriority w:val="99"/>
    <w:semiHidden/>
    <w:unhideWhenUsed/>
    <w:rsid w:val="00151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29F"/>
    <w:rPr>
      <w:rFonts w:ascii="Tahoma" w:hAnsi="Tahoma" w:cs="Tahoma"/>
      <w:sz w:val="16"/>
      <w:szCs w:val="16"/>
    </w:rPr>
  </w:style>
  <w:style w:type="table" w:customStyle="1" w:styleId="TableGrid1">
    <w:name w:val="Table Grid1"/>
    <w:basedOn w:val="TableNormal"/>
    <w:next w:val="TableGrid"/>
    <w:uiPriority w:val="59"/>
    <w:rsid w:val="00FB1A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 Ward</cp:lastModifiedBy>
  <cp:revision>3</cp:revision>
  <cp:lastPrinted>2014-06-12T22:46:00Z</cp:lastPrinted>
  <dcterms:created xsi:type="dcterms:W3CDTF">2014-06-12T22:46:00Z</dcterms:created>
  <dcterms:modified xsi:type="dcterms:W3CDTF">2014-06-12T23:29:00Z</dcterms:modified>
</cp:coreProperties>
</file>