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AC" w:rsidRDefault="00F14A38" w:rsidP="00F14A38">
      <w:pPr>
        <w:jc w:val="center"/>
        <w:rPr>
          <w:b/>
          <w:sz w:val="28"/>
          <w:szCs w:val="28"/>
        </w:rPr>
      </w:pPr>
      <w:r w:rsidRPr="00F14A38">
        <w:rPr>
          <w:b/>
          <w:sz w:val="28"/>
          <w:szCs w:val="28"/>
        </w:rPr>
        <w:t>Natural Gas Advisory Committee</w:t>
      </w:r>
    </w:p>
    <w:p w:rsidR="00F14A38" w:rsidRDefault="007827CC" w:rsidP="00F14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Notes</w:t>
      </w:r>
    </w:p>
    <w:p w:rsidR="00331FB5" w:rsidRPr="00E2729F" w:rsidRDefault="007827CC" w:rsidP="00E2729F">
      <w:pPr>
        <w:jc w:val="center"/>
        <w:rPr>
          <w:b/>
          <w:sz w:val="28"/>
          <w:szCs w:val="28"/>
        </w:rPr>
      </w:pPr>
      <w:r w:rsidRPr="00E2729F">
        <w:rPr>
          <w:b/>
          <w:sz w:val="28"/>
          <w:szCs w:val="28"/>
        </w:rPr>
        <w:t>June 16, 2011</w:t>
      </w:r>
    </w:p>
    <w:p w:rsidR="00331FB5" w:rsidRDefault="00331FB5" w:rsidP="00F14A38"/>
    <w:p w:rsidR="00331FB5" w:rsidRDefault="007827CC" w:rsidP="00F14A38">
      <w:r>
        <w:t xml:space="preserve">The meeting of the Natural Gas Advisory Committee (NGAC) of the Northwest Power and Conservation Council was called to order at 10:00 </w:t>
      </w:r>
      <w:r w:rsidR="00846219">
        <w:t>a.m.</w:t>
      </w:r>
      <w:r>
        <w:t xml:space="preserve"> by Chair Massoud Jourabchi.  The attendees were welcomed to the meeting and a round of introductions was made. The agenda was approved.  These notes summar</w:t>
      </w:r>
      <w:r w:rsidR="00846219">
        <w:t>ize the</w:t>
      </w:r>
      <w:r>
        <w:t xml:space="preserve"> discussion that took place and document the advice that the Council received during the meeting.  </w:t>
      </w:r>
    </w:p>
    <w:p w:rsidR="007827CC" w:rsidRDefault="007827CC" w:rsidP="00F14A38"/>
    <w:p w:rsidR="009277A8" w:rsidRDefault="007827CC" w:rsidP="00F14A38">
      <w:r w:rsidRPr="009D74BD">
        <w:t>The committee members were asked</w:t>
      </w:r>
      <w:r w:rsidR="000F6E96" w:rsidRPr="009D74BD">
        <w:t xml:space="preserve"> about</w:t>
      </w:r>
      <w:r w:rsidRPr="009D74BD">
        <w:t xml:space="preserve"> </w:t>
      </w:r>
      <w:r w:rsidR="009277A8" w:rsidRPr="009D74BD">
        <w:t xml:space="preserve">topic areas of interest for this and future meetings. </w:t>
      </w:r>
      <w:r w:rsidRPr="009D74BD">
        <w:t xml:space="preserve"> </w:t>
      </w:r>
      <w:r w:rsidR="000F6E96" w:rsidRPr="009D74BD">
        <w:t>The following were mentioned as issue</w:t>
      </w:r>
      <w:r w:rsidR="00846219">
        <w:t>s</w:t>
      </w:r>
      <w:r w:rsidR="000F6E96" w:rsidRPr="009D74BD">
        <w:t xml:space="preserve"> of interest.</w:t>
      </w:r>
    </w:p>
    <w:p w:rsidR="00846219" w:rsidRPr="009D74BD" w:rsidRDefault="00846219" w:rsidP="00F14A38"/>
    <w:p w:rsidR="005266E0" w:rsidRDefault="009277A8" w:rsidP="009277A8">
      <w:pPr>
        <w:pStyle w:val="ListParagraph"/>
        <w:numPr>
          <w:ilvl w:val="1"/>
          <w:numId w:val="4"/>
        </w:numPr>
      </w:pPr>
      <w:r>
        <w:t xml:space="preserve">Natural </w:t>
      </w:r>
      <w:r w:rsidR="00846219">
        <w:t>g</w:t>
      </w:r>
      <w:r>
        <w:t xml:space="preserve">as </w:t>
      </w:r>
      <w:r w:rsidR="00846219">
        <w:t>i</w:t>
      </w:r>
      <w:r>
        <w:t>nfrastructure</w:t>
      </w:r>
      <w:r w:rsidR="005266E0">
        <w:t xml:space="preserve"> changes</w:t>
      </w:r>
    </w:p>
    <w:p w:rsidR="005266E0" w:rsidRDefault="005266E0" w:rsidP="009277A8">
      <w:pPr>
        <w:pStyle w:val="ListParagraph"/>
        <w:numPr>
          <w:ilvl w:val="1"/>
          <w:numId w:val="4"/>
        </w:numPr>
      </w:pPr>
      <w:r>
        <w:t xml:space="preserve">Wind integration </w:t>
      </w:r>
      <w:r w:rsidR="009277A8">
        <w:t xml:space="preserve">and how it </w:t>
      </w:r>
      <w:r w:rsidR="00846219">
        <w:t>affects</w:t>
      </w:r>
      <w:r w:rsidR="009277A8">
        <w:t xml:space="preserve"> demand for gas</w:t>
      </w:r>
    </w:p>
    <w:p w:rsidR="005266E0" w:rsidRDefault="005266E0" w:rsidP="009277A8">
      <w:pPr>
        <w:pStyle w:val="ListParagraph"/>
        <w:numPr>
          <w:ilvl w:val="1"/>
          <w:numId w:val="4"/>
        </w:numPr>
      </w:pPr>
      <w:r>
        <w:t>Climate change</w:t>
      </w:r>
    </w:p>
    <w:p w:rsidR="005266E0" w:rsidRDefault="00094144" w:rsidP="009277A8">
      <w:pPr>
        <w:pStyle w:val="ListParagraph"/>
        <w:numPr>
          <w:ilvl w:val="1"/>
          <w:numId w:val="4"/>
        </w:numPr>
      </w:pPr>
      <w:r>
        <w:t xml:space="preserve">Impact of </w:t>
      </w:r>
      <w:r w:rsidR="00972A20">
        <w:t>c</w:t>
      </w:r>
      <w:r w:rsidR="005266E0">
        <w:t>oal plant closures</w:t>
      </w:r>
      <w:r>
        <w:t xml:space="preserve"> on demand for natural gas</w:t>
      </w:r>
    </w:p>
    <w:p w:rsidR="005266E0" w:rsidRDefault="005266E0" w:rsidP="009277A8">
      <w:pPr>
        <w:pStyle w:val="ListParagraph"/>
        <w:numPr>
          <w:ilvl w:val="1"/>
          <w:numId w:val="4"/>
        </w:numPr>
      </w:pPr>
      <w:r>
        <w:t>N</w:t>
      </w:r>
      <w:r w:rsidR="009277A8">
        <w:t xml:space="preserve">atural </w:t>
      </w:r>
      <w:r w:rsidR="00972A20">
        <w:t>g</w:t>
      </w:r>
      <w:r w:rsidR="009277A8">
        <w:t xml:space="preserve">as </w:t>
      </w:r>
      <w:r w:rsidR="00972A20">
        <w:t>v</w:t>
      </w:r>
      <w:r w:rsidR="009277A8">
        <w:t>ehicle</w:t>
      </w:r>
      <w:r w:rsidR="000F6E96">
        <w:t>s</w:t>
      </w:r>
      <w:r w:rsidR="009277A8">
        <w:t xml:space="preserve"> </w:t>
      </w:r>
    </w:p>
    <w:p w:rsidR="005266E0" w:rsidRDefault="005266E0" w:rsidP="009277A8">
      <w:pPr>
        <w:pStyle w:val="ListParagraph"/>
        <w:numPr>
          <w:ilvl w:val="1"/>
          <w:numId w:val="4"/>
        </w:numPr>
      </w:pPr>
      <w:r>
        <w:t xml:space="preserve">Electric vehicles and </w:t>
      </w:r>
      <w:r w:rsidR="00846219">
        <w:t>b</w:t>
      </w:r>
      <w:r>
        <w:t>ase</w:t>
      </w:r>
      <w:r w:rsidR="009277A8">
        <w:t xml:space="preserve"> </w:t>
      </w:r>
      <w:r>
        <w:t>load power</w:t>
      </w:r>
    </w:p>
    <w:p w:rsidR="00972A20" w:rsidRDefault="00972A20" w:rsidP="009277A8">
      <w:pPr>
        <w:pStyle w:val="ListParagraph"/>
        <w:numPr>
          <w:ilvl w:val="1"/>
          <w:numId w:val="4"/>
        </w:numPr>
      </w:pPr>
      <w:r>
        <w:t>Relationship between prices of natural gas and petroleum</w:t>
      </w:r>
    </w:p>
    <w:p w:rsidR="009277A8" w:rsidRDefault="009277A8" w:rsidP="00F14A38"/>
    <w:p w:rsidR="00961F85" w:rsidRDefault="00C05E23" w:rsidP="00F14A38">
      <w:r>
        <w:t>Randy Friedman</w:t>
      </w:r>
      <w:r w:rsidR="00F14A38">
        <w:t xml:space="preserve"> </w:t>
      </w:r>
      <w:r w:rsidR="009277A8">
        <w:t xml:space="preserve">presented the </w:t>
      </w:r>
      <w:r>
        <w:t>2011-2019</w:t>
      </w:r>
      <w:r>
        <w:t xml:space="preserve"> Outlook of the Northwest Gas Association</w:t>
      </w:r>
      <w:r w:rsidR="009277A8">
        <w:t xml:space="preserve"> </w:t>
      </w:r>
      <w:r w:rsidR="000F6E96">
        <w:t>(NGA)</w:t>
      </w:r>
      <w:r w:rsidR="00094144">
        <w:t xml:space="preserve">. </w:t>
      </w:r>
      <w:r w:rsidR="009277A8">
        <w:t xml:space="preserve">This </w:t>
      </w:r>
      <w:hyperlink r:id="rId6" w:history="1">
        <w:r w:rsidR="009277A8" w:rsidRPr="00961F85">
          <w:rPr>
            <w:rStyle w:val="Hyperlink"/>
          </w:rPr>
          <w:t>presentation</w:t>
        </w:r>
      </w:hyperlink>
      <w:r w:rsidR="009277A8">
        <w:t xml:space="preserve"> is available on Council’s</w:t>
      </w:r>
      <w:r w:rsidR="000F6E96">
        <w:t xml:space="preserve"> website</w:t>
      </w:r>
      <w:r w:rsidR="00961F85">
        <w:t>.</w:t>
      </w:r>
    </w:p>
    <w:p w:rsidR="00961F85" w:rsidRDefault="009277A8" w:rsidP="00F14A38">
      <w:r>
        <w:t xml:space="preserve"> </w:t>
      </w:r>
    </w:p>
    <w:p w:rsidR="000F6E96" w:rsidRDefault="00094144" w:rsidP="00F14A38">
      <w:r>
        <w:t>The committee discussed the presentation</w:t>
      </w:r>
      <w:r w:rsidR="000F6E96">
        <w:t xml:space="preserve"> and the following points were made:</w:t>
      </w:r>
    </w:p>
    <w:p w:rsidR="00846219" w:rsidRDefault="00846219" w:rsidP="00F14A38"/>
    <w:p w:rsidR="00A82987" w:rsidRDefault="00094144">
      <w:pPr>
        <w:pStyle w:val="ListParagraph"/>
        <w:numPr>
          <w:ilvl w:val="0"/>
          <w:numId w:val="1"/>
        </w:numPr>
      </w:pPr>
      <w:r>
        <w:t xml:space="preserve"> </w:t>
      </w:r>
      <w:r w:rsidR="005266E0">
        <w:t>Ruby</w:t>
      </w:r>
      <w:r w:rsidR="000F6E96">
        <w:t xml:space="preserve"> pipeline is</w:t>
      </w:r>
      <w:r w:rsidR="005266E0">
        <w:t xml:space="preserve"> joining NGA on July1</w:t>
      </w:r>
    </w:p>
    <w:p w:rsidR="00094144" w:rsidRDefault="00377F58" w:rsidP="00F14A38">
      <w:pPr>
        <w:numPr>
          <w:ilvl w:val="0"/>
          <w:numId w:val="1"/>
        </w:numPr>
      </w:pPr>
      <w:r>
        <w:t>Shale - environmental concerns</w:t>
      </w:r>
      <w:r w:rsidR="00094144">
        <w:t xml:space="preserve"> may restrict supply, especially in the </w:t>
      </w:r>
      <w:r w:rsidR="00846219">
        <w:t>E</w:t>
      </w:r>
      <w:r w:rsidR="00094144">
        <w:t>ast</w:t>
      </w:r>
    </w:p>
    <w:p w:rsidR="00094144" w:rsidRDefault="00377F58" w:rsidP="00F14A38">
      <w:pPr>
        <w:numPr>
          <w:ilvl w:val="0"/>
          <w:numId w:val="1"/>
        </w:numPr>
      </w:pPr>
      <w:r>
        <w:t xml:space="preserve">Liquid hydrocarbons </w:t>
      </w:r>
      <w:r w:rsidR="000F6E96">
        <w:t>are currently</w:t>
      </w:r>
      <w:r>
        <w:t xml:space="preserve"> supporting </w:t>
      </w:r>
      <w:r w:rsidR="00094144">
        <w:t xml:space="preserve">low natural gas </w:t>
      </w:r>
      <w:r>
        <w:t>price</w:t>
      </w:r>
      <w:r w:rsidR="00094144">
        <w:t>s</w:t>
      </w:r>
      <w:r>
        <w:t xml:space="preserve">. </w:t>
      </w:r>
    </w:p>
    <w:p w:rsidR="00094144" w:rsidRDefault="00377F58" w:rsidP="00F14A38">
      <w:pPr>
        <w:numPr>
          <w:ilvl w:val="0"/>
          <w:numId w:val="1"/>
        </w:numPr>
      </w:pPr>
      <w:r>
        <w:t xml:space="preserve">What is </w:t>
      </w:r>
      <w:r w:rsidR="00846219">
        <w:t xml:space="preserve">the </w:t>
      </w:r>
      <w:r>
        <w:t>full-cycle cost of dry shale</w:t>
      </w:r>
      <w:r w:rsidR="00094144">
        <w:t xml:space="preserve"> gas? </w:t>
      </w:r>
      <w:r>
        <w:t xml:space="preserve"> </w:t>
      </w:r>
      <w:r w:rsidR="00094144">
        <w:t>Af</w:t>
      </w:r>
      <w:r>
        <w:t>ter 2014-15</w:t>
      </w:r>
      <w:r w:rsidR="00846219">
        <w:t>, the</w:t>
      </w:r>
      <w:r>
        <w:t xml:space="preserve"> </w:t>
      </w:r>
      <w:r w:rsidR="00094144">
        <w:t xml:space="preserve">cost </w:t>
      </w:r>
      <w:r w:rsidR="00846219">
        <w:t>is at the</w:t>
      </w:r>
      <w:r>
        <w:t xml:space="preserve"> $6.50 level</w:t>
      </w:r>
      <w:r w:rsidR="00846219">
        <w:t>.</w:t>
      </w:r>
      <w:r>
        <w:t xml:space="preserve"> Associated gas</w:t>
      </w:r>
      <w:r w:rsidR="000F6E96">
        <w:t xml:space="preserve"> from oil drilling</w:t>
      </w:r>
      <w:r>
        <w:t xml:space="preserve"> may have </w:t>
      </w:r>
      <w:r w:rsidR="00846219">
        <w:t xml:space="preserve">a </w:t>
      </w:r>
      <w:r>
        <w:t>very low price.</w:t>
      </w:r>
    </w:p>
    <w:p w:rsidR="00094144" w:rsidRDefault="00094144" w:rsidP="00F14A38">
      <w:pPr>
        <w:numPr>
          <w:ilvl w:val="0"/>
          <w:numId w:val="1"/>
        </w:numPr>
      </w:pPr>
      <w:r>
        <w:t>Up</w:t>
      </w:r>
      <w:r w:rsidR="00846219">
        <w:t xml:space="preserve"> </w:t>
      </w:r>
      <w:r>
        <w:t>to</w:t>
      </w:r>
      <w:r w:rsidR="00377F58">
        <w:t xml:space="preserve"> 90% recycling of frac</w:t>
      </w:r>
      <w:r>
        <w:t>k</w:t>
      </w:r>
      <w:r w:rsidR="00377F58">
        <w:t>ing fluids.</w:t>
      </w:r>
      <w:r w:rsidR="001072BB">
        <w:t xml:space="preserve">  Water use is </w:t>
      </w:r>
      <w:r w:rsidR="00846219">
        <w:t xml:space="preserve">a </w:t>
      </w:r>
      <w:r w:rsidR="001072BB">
        <w:t>big issue with shale development, especially in Texas where drought is rampant.</w:t>
      </w:r>
      <w:r w:rsidR="00FD4A07">
        <w:t xml:space="preserve"> </w:t>
      </w:r>
    </w:p>
    <w:p w:rsidR="005F2606" w:rsidRDefault="00094144" w:rsidP="00F14A38">
      <w:pPr>
        <w:numPr>
          <w:ilvl w:val="0"/>
          <w:numId w:val="1"/>
        </w:numPr>
      </w:pPr>
      <w:r>
        <w:t xml:space="preserve">Environmental concerns </w:t>
      </w:r>
      <w:r w:rsidR="00FD4A07">
        <w:t xml:space="preserve">not </w:t>
      </w:r>
      <w:r>
        <w:t>insurmountable</w:t>
      </w:r>
      <w:r w:rsidR="00FD4A07">
        <w:t xml:space="preserve"> issues with shale gas. </w:t>
      </w:r>
    </w:p>
    <w:p w:rsidR="00E81ED9" w:rsidRDefault="00E81ED9" w:rsidP="00F14A38">
      <w:pPr>
        <w:numPr>
          <w:ilvl w:val="0"/>
          <w:numId w:val="1"/>
        </w:numPr>
      </w:pPr>
      <w:r>
        <w:t xml:space="preserve">Ruby not expected to have </w:t>
      </w:r>
      <w:r w:rsidR="00846219">
        <w:t xml:space="preserve">an </w:t>
      </w:r>
      <w:r>
        <w:t xml:space="preserve">effect on </w:t>
      </w:r>
      <w:r w:rsidR="00846219">
        <w:t xml:space="preserve">the </w:t>
      </w:r>
      <w:r>
        <w:t>I-5 corridor NG market.</w:t>
      </w:r>
    </w:p>
    <w:p w:rsidR="005F2606" w:rsidRDefault="005F2606" w:rsidP="00F14A38"/>
    <w:p w:rsidR="00F14A38" w:rsidRDefault="005F2606" w:rsidP="00F14A38">
      <w:r>
        <w:t>Sam Van Vactor briefly updated the group on</w:t>
      </w:r>
      <w:r w:rsidR="000F6E96">
        <w:t xml:space="preserve"> the</w:t>
      </w:r>
      <w:r>
        <w:t xml:space="preserve"> </w:t>
      </w:r>
      <w:r w:rsidR="00FD4A07">
        <w:t>Clean Energy Standards</w:t>
      </w:r>
      <w:r>
        <w:t xml:space="preserve"> initiative.</w:t>
      </w:r>
    </w:p>
    <w:p w:rsidR="00846219" w:rsidRDefault="00846219" w:rsidP="00F14A38"/>
    <w:p w:rsidR="00FD4A07" w:rsidRDefault="005F2606" w:rsidP="00F14A38">
      <w:pPr>
        <w:numPr>
          <w:ilvl w:val="0"/>
          <w:numId w:val="2"/>
        </w:numPr>
      </w:pPr>
      <w:r>
        <w:t>The current p</w:t>
      </w:r>
      <w:r w:rsidR="00FD4A07">
        <w:t>roposal</w:t>
      </w:r>
      <w:r>
        <w:t xml:space="preserve"> calls for</w:t>
      </w:r>
      <w:r w:rsidR="00FD4A07">
        <w:t xml:space="preserve"> 80% clean </w:t>
      </w:r>
      <w:r>
        <w:t xml:space="preserve">energy </w:t>
      </w:r>
      <w:r w:rsidR="00FD4A07">
        <w:t>by 2035</w:t>
      </w:r>
      <w:r>
        <w:t xml:space="preserve">. This can lead to closure of </w:t>
      </w:r>
      <w:r w:rsidR="00FD4A07">
        <w:t>53%</w:t>
      </w:r>
      <w:r w:rsidR="001F0727">
        <w:t xml:space="preserve"> of</w:t>
      </w:r>
      <w:r w:rsidR="00FD4A07">
        <w:t xml:space="preserve"> coal</w:t>
      </w:r>
      <w:r w:rsidR="00846219">
        <w:t>-</w:t>
      </w:r>
      <w:r w:rsidR="001F0727">
        <w:t xml:space="preserve">powered </w:t>
      </w:r>
      <w:r>
        <w:t>units nationally, which could add</w:t>
      </w:r>
      <w:r w:rsidR="00FD4A07">
        <w:t xml:space="preserve"> 10Tcf </w:t>
      </w:r>
      <w:r>
        <w:t xml:space="preserve">to annual demand for natural gas. Given </w:t>
      </w:r>
      <w:r w:rsidR="00846219">
        <w:t xml:space="preserve">that </w:t>
      </w:r>
      <w:r>
        <w:t xml:space="preserve">current demand is about 24 </w:t>
      </w:r>
      <w:proofErr w:type="spellStart"/>
      <w:r>
        <w:t>Tcf</w:t>
      </w:r>
      <w:proofErr w:type="spellEnd"/>
      <w:r w:rsidR="00846219">
        <w:t>,</w:t>
      </w:r>
      <w:r>
        <w:t xml:space="preserve"> this is a large increase </w:t>
      </w:r>
      <w:r w:rsidR="00972A20">
        <w:t xml:space="preserve">in </w:t>
      </w:r>
      <w:r w:rsidR="00FD4A07">
        <w:t>demand.</w:t>
      </w:r>
    </w:p>
    <w:p w:rsidR="005F2606" w:rsidRDefault="005F2606" w:rsidP="00000EFD"/>
    <w:p w:rsidR="00000EFD" w:rsidRDefault="005F2606" w:rsidP="00000EFD">
      <w:r>
        <w:t xml:space="preserve">The group discussed </w:t>
      </w:r>
      <w:r w:rsidR="00000EFD">
        <w:t>issues</w:t>
      </w:r>
      <w:r>
        <w:t xml:space="preserve"> </w:t>
      </w:r>
      <w:r w:rsidR="00846219">
        <w:t>affecting</w:t>
      </w:r>
      <w:r>
        <w:t xml:space="preserve"> demand for natural gas</w:t>
      </w:r>
    </w:p>
    <w:p w:rsidR="00020E99" w:rsidRDefault="00000EFD" w:rsidP="00000EFD">
      <w:pPr>
        <w:numPr>
          <w:ilvl w:val="0"/>
          <w:numId w:val="2"/>
        </w:numPr>
      </w:pPr>
      <w:r>
        <w:t xml:space="preserve"> Low NG prices may stimulate demand for new industries that use NG.</w:t>
      </w:r>
    </w:p>
    <w:p w:rsidR="00000EFD" w:rsidRDefault="00000EFD" w:rsidP="00000EFD">
      <w:pPr>
        <w:numPr>
          <w:ilvl w:val="0"/>
          <w:numId w:val="2"/>
        </w:numPr>
      </w:pPr>
      <w:r>
        <w:t xml:space="preserve"> International NG prices are significantly higher than expected in </w:t>
      </w:r>
      <w:r w:rsidR="00846219">
        <w:t xml:space="preserve">the </w:t>
      </w:r>
      <w:r>
        <w:t>U</w:t>
      </w:r>
      <w:r w:rsidR="00846219">
        <w:t>.</w:t>
      </w:r>
      <w:r>
        <w:t>S.</w:t>
      </w:r>
      <w:r w:rsidR="00020E99">
        <w:t xml:space="preserve"> This m</w:t>
      </w:r>
      <w:r>
        <w:t>ay shift manufacturing jobs back to</w:t>
      </w:r>
      <w:r w:rsidR="00846219">
        <w:t xml:space="preserve"> the</w:t>
      </w:r>
      <w:r>
        <w:t xml:space="preserve"> U</w:t>
      </w:r>
      <w:r w:rsidR="00846219">
        <w:t>.</w:t>
      </w:r>
      <w:r>
        <w:t>S</w:t>
      </w:r>
      <w:r w:rsidR="00846219">
        <w:t>.</w:t>
      </w:r>
      <w:r>
        <w:t xml:space="preserve"> by offsetting labor cost differences</w:t>
      </w:r>
      <w:r w:rsidR="00020E99">
        <w:t xml:space="preserve">.  Low gas prices domestically and high </w:t>
      </w:r>
      <w:r>
        <w:t xml:space="preserve">oil prices </w:t>
      </w:r>
      <w:r w:rsidR="00020E99">
        <w:t xml:space="preserve">internationally could help </w:t>
      </w:r>
      <w:r>
        <w:t>play a role</w:t>
      </w:r>
      <w:r w:rsidR="00020E99">
        <w:t xml:space="preserve"> in promoting more </w:t>
      </w:r>
      <w:r w:rsidR="00020E99">
        <w:lastRenderedPageBreak/>
        <w:t>U</w:t>
      </w:r>
      <w:r w:rsidR="00846219">
        <w:t>.</w:t>
      </w:r>
      <w:r w:rsidR="00020E99">
        <w:t>S</w:t>
      </w:r>
      <w:r w:rsidR="00846219">
        <w:t>.</w:t>
      </w:r>
      <w:r w:rsidR="00020E99">
        <w:t xml:space="preserve"> jobs</w:t>
      </w:r>
      <w:r>
        <w:t>.</w:t>
      </w:r>
      <w:r w:rsidR="00972A20">
        <w:t xml:space="preserve"> Industrial demand for gas may not continue to decline as forecast if </w:t>
      </w:r>
      <w:r w:rsidR="00846219">
        <w:t xml:space="preserve">the </w:t>
      </w:r>
      <w:r w:rsidR="00972A20">
        <w:t>U.S. government and consumers begin to pay down foreign debt, which would increase</w:t>
      </w:r>
      <w:r w:rsidR="00846219">
        <w:t xml:space="preserve"> the</w:t>
      </w:r>
      <w:r w:rsidR="00972A20">
        <w:t xml:space="preserve"> U.S. balance of trade and </w:t>
      </w:r>
      <w:r w:rsidR="00846219">
        <w:t>increase</w:t>
      </w:r>
      <w:r w:rsidR="00972A20">
        <w:t xml:space="preserve"> industrial production.</w:t>
      </w:r>
    </w:p>
    <w:p w:rsidR="00020E99" w:rsidRDefault="00020E99" w:rsidP="00000EFD"/>
    <w:p w:rsidR="00020E99" w:rsidRDefault="00020E99" w:rsidP="00000EFD">
      <w:r>
        <w:t xml:space="preserve">The </w:t>
      </w:r>
      <w:r w:rsidR="00285B1E">
        <w:t xml:space="preserve">next item on the agenda was </w:t>
      </w:r>
      <w:r>
        <w:t xml:space="preserve">Council’s </w:t>
      </w:r>
      <w:r w:rsidR="00DF3D82">
        <w:t>Sixth Power</w:t>
      </w:r>
      <w:r w:rsidR="00285B1E">
        <w:t xml:space="preserve"> Plan and </w:t>
      </w:r>
      <w:r>
        <w:t>the reason for reform</w:t>
      </w:r>
      <w:r w:rsidR="00DF3D82">
        <w:t>ing</w:t>
      </w:r>
      <w:r>
        <w:t xml:space="preserve"> the Natural Gas Advisory Committee.  Massoud Jourabchi </w:t>
      </w:r>
      <w:r w:rsidR="00DF3D82">
        <w:t>reviewed</w:t>
      </w:r>
      <w:r w:rsidR="000F6E96">
        <w:t xml:space="preserve"> </w:t>
      </w:r>
      <w:r>
        <w:t>the events after the last meeting</w:t>
      </w:r>
      <w:r w:rsidR="00DF3D82">
        <w:t>,</w:t>
      </w:r>
      <w:r>
        <w:t xml:space="preserve"> </w:t>
      </w:r>
      <w:r w:rsidR="00285B1E">
        <w:t xml:space="preserve">as well as the analytical update to </w:t>
      </w:r>
      <w:r>
        <w:t>Council</w:t>
      </w:r>
      <w:r w:rsidR="00285B1E">
        <w:t>’s natural gas model</w:t>
      </w:r>
      <w:r>
        <w:t xml:space="preserve">. This </w:t>
      </w:r>
      <w:hyperlink r:id="rId7" w:history="1">
        <w:r w:rsidRPr="00961F85">
          <w:rPr>
            <w:rStyle w:val="Hyperlink"/>
          </w:rPr>
          <w:t>presentation</w:t>
        </w:r>
      </w:hyperlink>
      <w:r>
        <w:t xml:space="preserve"> is available from Council website</w:t>
      </w:r>
      <w:r w:rsidR="00961F85">
        <w:t>.</w:t>
      </w:r>
    </w:p>
    <w:p w:rsidR="00020E99" w:rsidRDefault="00020E99" w:rsidP="00000EFD"/>
    <w:p w:rsidR="00285B1E" w:rsidRDefault="00285B1E" w:rsidP="00285B1E">
      <w:r>
        <w:t>Issues regarding supply and price of natural gas discussed during the presentation</w:t>
      </w:r>
      <w:r w:rsidR="001E38F5">
        <w:t xml:space="preserve"> included</w:t>
      </w:r>
      <w:r w:rsidR="00000EFD">
        <w:t>:</w:t>
      </w:r>
      <w:r w:rsidR="00574575">
        <w:t xml:space="preserve"> </w:t>
      </w:r>
    </w:p>
    <w:p w:rsidR="00285B1E" w:rsidRDefault="00285B1E" w:rsidP="00285B1E"/>
    <w:p w:rsidR="00285B1E" w:rsidRDefault="00F407B2" w:rsidP="00285B1E">
      <w:pPr>
        <w:pStyle w:val="ListParagraph"/>
        <w:numPr>
          <w:ilvl w:val="0"/>
          <w:numId w:val="6"/>
        </w:numPr>
      </w:pPr>
      <w:r>
        <w:t xml:space="preserve">Natural </w:t>
      </w:r>
      <w:r w:rsidR="00DF3D82">
        <w:t>g</w:t>
      </w:r>
      <w:r>
        <w:t xml:space="preserve">as </w:t>
      </w:r>
      <w:r w:rsidR="00285B1E">
        <w:t>l</w:t>
      </w:r>
      <w:r w:rsidR="00E81ED9">
        <w:t>eas</w:t>
      </w:r>
      <w:r w:rsidR="00285B1E">
        <w:t xml:space="preserve">e </w:t>
      </w:r>
      <w:r w:rsidR="00E81ED9">
        <w:t xml:space="preserve">development requirements </w:t>
      </w:r>
      <w:r>
        <w:t xml:space="preserve">may </w:t>
      </w:r>
      <w:r w:rsidR="00285B1E">
        <w:t>h</w:t>
      </w:r>
      <w:r>
        <w:t>ave</w:t>
      </w:r>
      <w:r w:rsidR="00285B1E">
        <w:t xml:space="preserve"> caused a</w:t>
      </w:r>
      <w:r w:rsidR="001E38F5">
        <w:t xml:space="preserve"> continued</w:t>
      </w:r>
      <w:r w:rsidR="00285B1E">
        <w:t xml:space="preserve"> increase in </w:t>
      </w:r>
      <w:r w:rsidR="00DF3D82">
        <w:t xml:space="preserve">the </w:t>
      </w:r>
      <w:r w:rsidR="00285B1E">
        <w:t xml:space="preserve">supply of natural gas </w:t>
      </w:r>
      <w:r w:rsidR="001E38F5">
        <w:t xml:space="preserve">even with depressed </w:t>
      </w:r>
      <w:r w:rsidR="00285B1E">
        <w:t>prices</w:t>
      </w:r>
      <w:r w:rsidR="00E81ED9">
        <w:t>.</w:t>
      </w:r>
    </w:p>
    <w:p w:rsidR="00285B1E" w:rsidRDefault="00E81ED9" w:rsidP="00285B1E">
      <w:pPr>
        <w:pStyle w:val="ListParagraph"/>
        <w:numPr>
          <w:ilvl w:val="0"/>
          <w:numId w:val="6"/>
        </w:numPr>
      </w:pPr>
      <w:r>
        <w:t xml:space="preserve">Early development </w:t>
      </w:r>
      <w:r w:rsidR="00285B1E">
        <w:t xml:space="preserve">of </w:t>
      </w:r>
      <w:r w:rsidR="00285B1E" w:rsidRPr="00A333A5">
        <w:t xml:space="preserve">shale </w:t>
      </w:r>
      <w:r w:rsidR="001A09F7" w:rsidRPr="00A333A5">
        <w:t>plays has gone after</w:t>
      </w:r>
      <w:r>
        <w:t xml:space="preserve"> liquids rich shale.</w:t>
      </w:r>
      <w:r w:rsidR="00DF3D82">
        <w:t xml:space="preserve"> </w:t>
      </w:r>
      <w:r>
        <w:t xml:space="preserve">Dry shale will set </w:t>
      </w:r>
      <w:r w:rsidR="00DF3D82">
        <w:t xml:space="preserve">the </w:t>
      </w:r>
      <w:r w:rsidRPr="00A333A5">
        <w:t xml:space="preserve">long-term price of gas </w:t>
      </w:r>
      <w:r w:rsidR="00DF3D82">
        <w:t xml:space="preserve">at </w:t>
      </w:r>
      <w:r>
        <w:t>around $4-$5.</w:t>
      </w:r>
    </w:p>
    <w:p w:rsidR="009D74BD" w:rsidRDefault="00E81ED9" w:rsidP="002C5063">
      <w:pPr>
        <w:pStyle w:val="ListParagraph"/>
        <w:numPr>
          <w:ilvl w:val="0"/>
          <w:numId w:val="6"/>
        </w:numPr>
      </w:pPr>
      <w:r>
        <w:t>Bonus and royalties can change the price of natural gas significantly.</w:t>
      </w:r>
      <w:r w:rsidR="00FC2E15">
        <w:t xml:space="preserve">  Current prices </w:t>
      </w:r>
      <w:r w:rsidR="00DF3D82">
        <w:t xml:space="preserve">are </w:t>
      </w:r>
      <w:r w:rsidR="00FC2E15">
        <w:t>depressed.</w:t>
      </w:r>
    </w:p>
    <w:p w:rsidR="009D74BD" w:rsidRPr="009D74BD" w:rsidRDefault="009D74BD" w:rsidP="009D74BD">
      <w:pPr>
        <w:pStyle w:val="ListParagraph"/>
        <w:numPr>
          <w:ilvl w:val="0"/>
          <w:numId w:val="8"/>
        </w:numPr>
        <w:rPr>
          <w:color w:val="000000"/>
          <w:szCs w:val="18"/>
        </w:rPr>
      </w:pPr>
      <w:r w:rsidRPr="009D74BD">
        <w:t>P</w:t>
      </w:r>
      <w:r w:rsidRPr="009D74BD">
        <w:rPr>
          <w:color w:val="000000"/>
          <w:szCs w:val="18"/>
        </w:rPr>
        <w:t>roducer (Lessee) cannot simply acquire leases and "warehouse" them without reasonable development. The pressure to drill in this regard is a significant issue in shale basins and is driving current drilling to some degree.</w:t>
      </w:r>
      <w:r w:rsidR="00972A20">
        <w:rPr>
          <w:color w:val="000000"/>
          <w:szCs w:val="18"/>
        </w:rPr>
        <w:t xml:space="preserve"> There is significant “failure to develop” litigation in the offing.</w:t>
      </w:r>
    </w:p>
    <w:p w:rsidR="00285B1E" w:rsidRDefault="00FC2E15" w:rsidP="00000EFD">
      <w:pPr>
        <w:pStyle w:val="ListParagraph"/>
        <w:numPr>
          <w:ilvl w:val="0"/>
          <w:numId w:val="2"/>
        </w:numPr>
      </w:pPr>
      <w:r>
        <w:t>Link</w:t>
      </w:r>
      <w:r w:rsidR="00DF3D82">
        <w:t>ing</w:t>
      </w:r>
      <w:r>
        <w:t xml:space="preserve"> oil and NG prices</w:t>
      </w:r>
      <w:r w:rsidR="00285B1E">
        <w:t xml:space="preserve"> was discussed </w:t>
      </w:r>
      <w:r w:rsidR="001E38F5">
        <w:t xml:space="preserve">at </w:t>
      </w:r>
      <w:r w:rsidR="00285B1E">
        <w:t>different times during the meeting</w:t>
      </w:r>
      <w:r>
        <w:t xml:space="preserve">.  </w:t>
      </w:r>
      <w:r w:rsidR="00285B1E">
        <w:t xml:space="preserve">Oil and gas </w:t>
      </w:r>
      <w:r w:rsidR="00972A20">
        <w:t xml:space="preserve">prices </w:t>
      </w:r>
      <w:r w:rsidR="00285B1E">
        <w:t>h</w:t>
      </w:r>
      <w:r>
        <w:t xml:space="preserve">ave </w:t>
      </w:r>
      <w:r w:rsidR="00972A20">
        <w:t>separated, but still fluctuate together</w:t>
      </w:r>
      <w:r>
        <w:t xml:space="preserve">.  </w:t>
      </w:r>
      <w:r w:rsidR="00972A20">
        <w:t>I</w:t>
      </w:r>
      <w:r w:rsidR="00285B1E">
        <w:t xml:space="preserve">f </w:t>
      </w:r>
      <w:r w:rsidR="00DF3D82">
        <w:t xml:space="preserve">a </w:t>
      </w:r>
      <w:r>
        <w:t xml:space="preserve">large shift to NG vehicles or LNG exports </w:t>
      </w:r>
      <w:r w:rsidR="00285B1E">
        <w:t>materialize</w:t>
      </w:r>
      <w:r w:rsidR="00DF3D82">
        <w:t>s,</w:t>
      </w:r>
      <w:r w:rsidR="00285B1E">
        <w:t xml:space="preserve"> then </w:t>
      </w:r>
      <w:r w:rsidR="00DF3D82">
        <w:t xml:space="preserve">a </w:t>
      </w:r>
      <w:r w:rsidR="00972A20">
        <w:t>closer</w:t>
      </w:r>
      <w:r w:rsidR="00F407B2">
        <w:t xml:space="preserve"> link between oil and gas </w:t>
      </w:r>
      <w:r w:rsidR="00285B1E">
        <w:t xml:space="preserve">may </w:t>
      </w:r>
      <w:r w:rsidR="00F407B2">
        <w:t>re</w:t>
      </w:r>
      <w:r w:rsidR="00972A20">
        <w:t>-emerge</w:t>
      </w:r>
      <w:r>
        <w:t>.</w:t>
      </w:r>
    </w:p>
    <w:p w:rsidR="00285B1E" w:rsidRDefault="00FC2E15" w:rsidP="00000EFD">
      <w:pPr>
        <w:numPr>
          <w:ilvl w:val="0"/>
          <w:numId w:val="2"/>
        </w:numPr>
      </w:pPr>
      <w:r>
        <w:t xml:space="preserve">Not much </w:t>
      </w:r>
      <w:r w:rsidR="00285B1E">
        <w:t xml:space="preserve">inter-fuel competition in the </w:t>
      </w:r>
      <w:r>
        <w:t xml:space="preserve">industrial </w:t>
      </w:r>
      <w:r w:rsidR="00285B1E">
        <w:t>load in the NW</w:t>
      </w:r>
      <w:r w:rsidR="009D74BD">
        <w:t xml:space="preserve"> and other regions</w:t>
      </w:r>
      <w:r>
        <w:t>.</w:t>
      </w:r>
    </w:p>
    <w:p w:rsidR="00285B1E" w:rsidRDefault="00285B1E" w:rsidP="00000EFD">
      <w:pPr>
        <w:numPr>
          <w:ilvl w:val="0"/>
          <w:numId w:val="2"/>
        </w:numPr>
      </w:pPr>
      <w:r>
        <w:t xml:space="preserve">We are seeing </w:t>
      </w:r>
      <w:r w:rsidR="00972A20">
        <w:t xml:space="preserve">some </w:t>
      </w:r>
      <w:r>
        <w:t>shift from</w:t>
      </w:r>
      <w:r w:rsidR="00FC2E15">
        <w:t xml:space="preserve"> </w:t>
      </w:r>
      <w:r w:rsidR="00972A20">
        <w:t>g</w:t>
      </w:r>
      <w:r w:rsidR="00FC2E15">
        <w:t xml:space="preserve">as furnaces to </w:t>
      </w:r>
      <w:r>
        <w:t xml:space="preserve">electric </w:t>
      </w:r>
      <w:r w:rsidR="00FC2E15">
        <w:t xml:space="preserve">heat pumps </w:t>
      </w:r>
    </w:p>
    <w:p w:rsidR="00285B1E" w:rsidRDefault="00285B1E" w:rsidP="00285B1E"/>
    <w:p w:rsidR="00F407B2" w:rsidRDefault="00F407B2" w:rsidP="00285B1E">
      <w:r>
        <w:t>The next item on the agenda was discussion of the results from an informal poll conducted among the NGAC members. The members were asked for their expect</w:t>
      </w:r>
      <w:r w:rsidR="001E38F5">
        <w:t>ations about</w:t>
      </w:r>
      <w:r>
        <w:t xml:space="preserve"> prices at Henry hub for 2015 and 2030. </w:t>
      </w:r>
      <w:r w:rsidR="001A6EF8">
        <w:t xml:space="preserve"> Some of the issues related to the poll include:</w:t>
      </w:r>
      <w:r>
        <w:t xml:space="preserve">   </w:t>
      </w:r>
    </w:p>
    <w:p w:rsidR="00F407B2" w:rsidRDefault="00F407B2" w:rsidP="00285B1E"/>
    <w:p w:rsidR="001A6EF8" w:rsidRDefault="0053475A" w:rsidP="00192E7F">
      <w:pPr>
        <w:pStyle w:val="ListParagraph"/>
        <w:numPr>
          <w:ilvl w:val="0"/>
          <w:numId w:val="7"/>
        </w:numPr>
        <w:ind w:left="810"/>
      </w:pPr>
      <w:r>
        <w:t xml:space="preserve">Backup of </w:t>
      </w:r>
      <w:r w:rsidR="001A6EF8">
        <w:t>natural gas</w:t>
      </w:r>
      <w:r>
        <w:t xml:space="preserve"> into Canada</w:t>
      </w:r>
      <w:r w:rsidR="001A6EF8">
        <w:t>,</w:t>
      </w:r>
      <w:r>
        <w:t xml:space="preserve"> </w:t>
      </w:r>
      <w:r w:rsidR="001A6EF8">
        <w:t xml:space="preserve">as a result of Marcellus </w:t>
      </w:r>
      <w:r w:rsidR="00972A20">
        <w:t>S</w:t>
      </w:r>
      <w:r w:rsidR="001A6EF8">
        <w:t>h</w:t>
      </w:r>
      <w:r w:rsidR="00972A20">
        <w:t>a</w:t>
      </w:r>
      <w:r w:rsidR="001A6EF8">
        <w:t>l</w:t>
      </w:r>
      <w:r w:rsidR="00972A20">
        <w:t>e</w:t>
      </w:r>
      <w:r w:rsidR="001A6EF8">
        <w:t xml:space="preserve"> gas going to</w:t>
      </w:r>
      <w:r>
        <w:t xml:space="preserve"> </w:t>
      </w:r>
      <w:r w:rsidR="00DF3D82">
        <w:t>the Northeast</w:t>
      </w:r>
      <w:r w:rsidR="001A6EF8">
        <w:t>, may depress natural gas prices</w:t>
      </w:r>
      <w:r w:rsidR="001E38F5">
        <w:t xml:space="preserve"> in </w:t>
      </w:r>
      <w:r w:rsidR="00DF3D82">
        <w:t>the Pacific Northwest</w:t>
      </w:r>
      <w:r w:rsidR="00972A20">
        <w:t>, b</w:t>
      </w:r>
      <w:r w:rsidR="001E38F5">
        <w:t xml:space="preserve">ut </w:t>
      </w:r>
      <w:r w:rsidR="00DF3D82">
        <w:t xml:space="preserve">the </w:t>
      </w:r>
      <w:r w:rsidR="001A6EF8">
        <w:t>g</w:t>
      </w:r>
      <w:r>
        <w:t>rowing us</w:t>
      </w:r>
      <w:r w:rsidR="001A6EF8">
        <w:t>e</w:t>
      </w:r>
      <w:r>
        <w:t xml:space="preserve"> </w:t>
      </w:r>
      <w:r w:rsidR="00972A20">
        <w:t xml:space="preserve">of </w:t>
      </w:r>
      <w:r w:rsidR="001A6EF8">
        <w:t xml:space="preserve">natural gas </w:t>
      </w:r>
      <w:r w:rsidR="001E38F5">
        <w:t xml:space="preserve">for </w:t>
      </w:r>
      <w:r>
        <w:t xml:space="preserve">oil sands </w:t>
      </w:r>
      <w:r w:rsidR="001E38F5">
        <w:t xml:space="preserve">development </w:t>
      </w:r>
      <w:r w:rsidR="001A6EF8">
        <w:t xml:space="preserve">may </w:t>
      </w:r>
      <w:r w:rsidR="001E38F5">
        <w:t xml:space="preserve">help support </w:t>
      </w:r>
      <w:r w:rsidR="001A6EF8">
        <w:t xml:space="preserve">natural gas prices </w:t>
      </w:r>
      <w:r w:rsidR="001E38F5">
        <w:t>in WCSB</w:t>
      </w:r>
      <w:r>
        <w:t xml:space="preserve">. </w:t>
      </w:r>
      <w:r w:rsidR="00DF3D82">
        <w:t>[spell out]</w:t>
      </w:r>
    </w:p>
    <w:p w:rsidR="001A6EF8" w:rsidRDefault="001A6EF8" w:rsidP="00192E7F">
      <w:pPr>
        <w:pStyle w:val="ListParagraph"/>
        <w:numPr>
          <w:ilvl w:val="0"/>
          <w:numId w:val="7"/>
        </w:numPr>
        <w:ind w:left="810"/>
      </w:pPr>
      <w:r>
        <w:t>Develop</w:t>
      </w:r>
      <w:r w:rsidR="00DF3D82">
        <w:t>ing</w:t>
      </w:r>
      <w:r>
        <w:t xml:space="preserve"> </w:t>
      </w:r>
      <w:r w:rsidR="00972A20">
        <w:t>s</w:t>
      </w:r>
      <w:r w:rsidR="0053475A">
        <w:t>hale</w:t>
      </w:r>
      <w:r>
        <w:t xml:space="preserve">, a manufacturing process, </w:t>
      </w:r>
      <w:r w:rsidR="0053475A">
        <w:t>will not result in the e</w:t>
      </w:r>
      <w:r>
        <w:t>ver increasing price over time as we have seen for more conventional sources of natural gas.</w:t>
      </w:r>
      <w:r w:rsidR="00972A20">
        <w:t xml:space="preserve"> </w:t>
      </w:r>
    </w:p>
    <w:p w:rsidR="00972A20" w:rsidRDefault="00972A20" w:rsidP="00192E7F">
      <w:pPr>
        <w:pStyle w:val="ListParagraph"/>
        <w:numPr>
          <w:ilvl w:val="0"/>
          <w:numId w:val="7"/>
        </w:numPr>
        <w:ind w:left="810"/>
      </w:pPr>
      <w:r>
        <w:t>Some thought that the long</w:t>
      </w:r>
      <w:r w:rsidR="00DF3D82">
        <w:t>-term</w:t>
      </w:r>
      <w:r>
        <w:t xml:space="preserve"> supply curve </w:t>
      </w:r>
      <w:r w:rsidR="00DF3D82">
        <w:t>was</w:t>
      </w:r>
      <w:r>
        <w:t xml:space="preserve"> comparatively flat over an extended range.</w:t>
      </w:r>
    </w:p>
    <w:p w:rsidR="001A6EF8" w:rsidRDefault="001A6EF8" w:rsidP="00192E7F">
      <w:pPr>
        <w:pStyle w:val="ListParagraph"/>
        <w:numPr>
          <w:ilvl w:val="0"/>
          <w:numId w:val="7"/>
        </w:numPr>
        <w:ind w:left="810"/>
      </w:pPr>
      <w:r>
        <w:t>Future t</w:t>
      </w:r>
      <w:r w:rsidR="00EA7E0A">
        <w:t>echn</w:t>
      </w:r>
      <w:r>
        <w:t xml:space="preserve">ological advances would help keep </w:t>
      </w:r>
      <w:r w:rsidR="001E38F5">
        <w:t xml:space="preserve">downward </w:t>
      </w:r>
      <w:r>
        <w:t>pressure on</w:t>
      </w:r>
      <w:r w:rsidR="001E38F5">
        <w:t xml:space="preserve"> the</w:t>
      </w:r>
      <w:r>
        <w:t xml:space="preserve"> price of shale gas. </w:t>
      </w:r>
    </w:p>
    <w:p w:rsidR="00EA7E0A" w:rsidRDefault="001A6EF8" w:rsidP="00192E7F">
      <w:pPr>
        <w:pStyle w:val="ListParagraph"/>
        <w:numPr>
          <w:ilvl w:val="0"/>
          <w:numId w:val="7"/>
        </w:numPr>
        <w:ind w:left="810"/>
      </w:pPr>
      <w:r>
        <w:t>Members in general support develop</w:t>
      </w:r>
      <w:r w:rsidR="00DF3D82">
        <w:t>ing</w:t>
      </w:r>
      <w:r>
        <w:t xml:space="preserve"> </w:t>
      </w:r>
      <w:r w:rsidR="00EA7E0A">
        <w:t xml:space="preserve">scenarios </w:t>
      </w:r>
      <w:r>
        <w:t>that would lie be</w:t>
      </w:r>
      <w:r w:rsidR="000D45F9">
        <w:t>low</w:t>
      </w:r>
      <w:r>
        <w:t xml:space="preserve"> the forecast price range.</w:t>
      </w:r>
    </w:p>
    <w:p w:rsidR="001A6EF8" w:rsidRDefault="001A6EF8" w:rsidP="001A6EF8"/>
    <w:p w:rsidR="001A6EF8" w:rsidRDefault="001A6EF8" w:rsidP="001A6EF8">
      <w:r>
        <w:t>After lunch t</w:t>
      </w:r>
      <w:r w:rsidR="00F407B2">
        <w:t xml:space="preserve">he group was presented with a proposal for adjusting </w:t>
      </w:r>
      <w:r w:rsidR="00DF3D82">
        <w:t xml:space="preserve">the </w:t>
      </w:r>
      <w:r>
        <w:t xml:space="preserve">Council’s </w:t>
      </w:r>
      <w:r w:rsidR="00F407B2">
        <w:t xml:space="preserve">long-term </w:t>
      </w:r>
      <w:r>
        <w:t xml:space="preserve">price </w:t>
      </w:r>
      <w:r w:rsidR="00F407B2">
        <w:t xml:space="preserve">forecast.  </w:t>
      </w:r>
      <w:r w:rsidR="00192E7F">
        <w:t xml:space="preserve">The result of the NGAC survey was compared to the Council’s </w:t>
      </w:r>
      <w:r w:rsidR="00DF3D82">
        <w:t>Sixth Power</w:t>
      </w:r>
      <w:r w:rsidR="00192E7F">
        <w:t xml:space="preserve"> Plan, NYMEX futures price for natural gas and the</w:t>
      </w:r>
      <w:r w:rsidR="001E38F5">
        <w:t xml:space="preserve"> EIA</w:t>
      </w:r>
      <w:r w:rsidR="00192E7F">
        <w:t xml:space="preserve"> Annual Energy Outlook.   The results suggest </w:t>
      </w:r>
      <w:r w:rsidR="00192E7F">
        <w:lastRenderedPageBreak/>
        <w:t xml:space="preserve">that a $1- $1.5 adjustment (lowering) of Council’s medium case </w:t>
      </w:r>
      <w:r w:rsidR="00DF3D82">
        <w:t>Sixth</w:t>
      </w:r>
      <w:r w:rsidR="00192E7F">
        <w:t xml:space="preserve"> </w:t>
      </w:r>
      <w:r w:rsidR="00DF3D82">
        <w:t>P</w:t>
      </w:r>
      <w:r w:rsidR="00192E7F">
        <w:t xml:space="preserve">lan forecast may be warranted.  </w:t>
      </w:r>
      <w:r w:rsidR="00F407B2">
        <w:t>A number of discussions in support of lower or higher projections ensued.</w:t>
      </w:r>
      <w:r w:rsidR="00F407B2" w:rsidRPr="00F407B2">
        <w:t xml:space="preserve"> </w:t>
      </w:r>
      <w:r w:rsidR="00192E7F">
        <w:t xml:space="preserve"> Some of the key points in </w:t>
      </w:r>
      <w:r w:rsidR="00DF3D82">
        <w:t xml:space="preserve">the </w:t>
      </w:r>
      <w:r w:rsidR="00192E7F">
        <w:t>discussion were:</w:t>
      </w:r>
    </w:p>
    <w:p w:rsidR="001E38F5" w:rsidRDefault="001E38F5" w:rsidP="001A6EF8"/>
    <w:p w:rsidR="00192E7F" w:rsidRDefault="001E38F5" w:rsidP="0019461B">
      <w:pPr>
        <w:pStyle w:val="ListParagraph"/>
        <w:numPr>
          <w:ilvl w:val="0"/>
          <w:numId w:val="2"/>
        </w:numPr>
      </w:pPr>
      <w:r>
        <w:t xml:space="preserve">A </w:t>
      </w:r>
      <w:r w:rsidR="003C47C4">
        <w:t>f</w:t>
      </w:r>
      <w:r w:rsidR="00192E7F">
        <w:t>lat $4 natural gas</w:t>
      </w:r>
      <w:r>
        <w:t xml:space="preserve"> price</w:t>
      </w:r>
      <w:r w:rsidR="00192E7F">
        <w:t xml:space="preserve"> is very feasible</w:t>
      </w:r>
      <w:r w:rsidRPr="001E38F5">
        <w:t xml:space="preserve"> </w:t>
      </w:r>
      <w:r>
        <w:t>as a low case</w:t>
      </w:r>
      <w:r w:rsidR="00192E7F">
        <w:t>.</w:t>
      </w:r>
    </w:p>
    <w:p w:rsidR="003C47C4" w:rsidRDefault="003C47C4" w:rsidP="0019461B">
      <w:pPr>
        <w:pStyle w:val="ListParagraph"/>
        <w:numPr>
          <w:ilvl w:val="0"/>
          <w:numId w:val="2"/>
        </w:numPr>
      </w:pPr>
      <w:r>
        <w:t>Medium forecast</w:t>
      </w:r>
      <w:r w:rsidR="001E38F5">
        <w:t xml:space="preserve"> </w:t>
      </w:r>
      <w:r w:rsidR="00DF3D82">
        <w:t xml:space="preserve">of </w:t>
      </w:r>
      <w:r w:rsidR="001E38F5">
        <w:t>around</w:t>
      </w:r>
      <w:r>
        <w:t xml:space="preserve"> $6 dollars in long-term.</w:t>
      </w:r>
    </w:p>
    <w:p w:rsidR="003C47C4" w:rsidRDefault="003C47C4" w:rsidP="0019461B">
      <w:pPr>
        <w:pStyle w:val="ListParagraph"/>
        <w:numPr>
          <w:ilvl w:val="0"/>
          <w:numId w:val="2"/>
        </w:numPr>
      </w:pPr>
      <w:r>
        <w:t xml:space="preserve">If oil and natural gas </w:t>
      </w:r>
      <w:r w:rsidR="001E38F5">
        <w:t xml:space="preserve">were </w:t>
      </w:r>
      <w:r>
        <w:t xml:space="preserve">linked, </w:t>
      </w:r>
      <w:r w:rsidR="00DF3D82">
        <w:t xml:space="preserve">the </w:t>
      </w:r>
      <w:r>
        <w:t xml:space="preserve">price of natural gas </w:t>
      </w:r>
      <w:r w:rsidR="001E38F5">
        <w:t xml:space="preserve">could </w:t>
      </w:r>
      <w:r>
        <w:t>be in</w:t>
      </w:r>
      <w:r w:rsidR="001E38F5">
        <w:t xml:space="preserve"> the</w:t>
      </w:r>
      <w:r>
        <w:t xml:space="preserve"> $8-$10</w:t>
      </w:r>
      <w:r w:rsidR="001E38F5">
        <w:t xml:space="preserve"> range</w:t>
      </w:r>
      <w:r>
        <w:t>.</w:t>
      </w:r>
    </w:p>
    <w:p w:rsidR="003C47C4" w:rsidRDefault="000D45F9" w:rsidP="00192E7F">
      <w:pPr>
        <w:pStyle w:val="ListParagraph"/>
        <w:numPr>
          <w:ilvl w:val="0"/>
          <w:numId w:val="2"/>
        </w:numPr>
        <w:ind w:left="360" w:firstLine="0"/>
      </w:pPr>
      <w:r>
        <w:t>S</w:t>
      </w:r>
      <w:r w:rsidR="007929C2">
        <w:t xml:space="preserve">ubstitution </w:t>
      </w:r>
      <w:r>
        <w:t xml:space="preserve">for coal </w:t>
      </w:r>
      <w:r w:rsidR="007929C2">
        <w:t>probably</w:t>
      </w:r>
      <w:r w:rsidR="001E38F5">
        <w:t xml:space="preserve"> would</w:t>
      </w:r>
      <w:r w:rsidR="007929C2">
        <w:t xml:space="preserve"> ke</w:t>
      </w:r>
      <w:r w:rsidR="00192E7F">
        <w:t>e</w:t>
      </w:r>
      <w:r w:rsidR="007929C2">
        <w:t>p NG price from going even lower.</w:t>
      </w:r>
    </w:p>
    <w:p w:rsidR="00192E7F" w:rsidRDefault="003C47C4" w:rsidP="00192E7F">
      <w:pPr>
        <w:pStyle w:val="ListParagraph"/>
        <w:numPr>
          <w:ilvl w:val="0"/>
          <w:numId w:val="2"/>
        </w:numPr>
        <w:ind w:left="360" w:firstLine="0"/>
      </w:pPr>
      <w:r>
        <w:t>Coal setting the floor on natural gas at around $4 dollars.</w:t>
      </w:r>
    </w:p>
    <w:p w:rsidR="008D3667" w:rsidRDefault="007929C2" w:rsidP="00192E7F">
      <w:pPr>
        <w:pStyle w:val="ListParagraph"/>
        <w:numPr>
          <w:ilvl w:val="0"/>
          <w:numId w:val="2"/>
        </w:numPr>
        <w:ind w:left="360" w:firstLine="0"/>
      </w:pPr>
      <w:r>
        <w:t xml:space="preserve">Exports have kept coal prices up. </w:t>
      </w:r>
    </w:p>
    <w:p w:rsidR="00A82987" w:rsidRDefault="00A82987">
      <w:pPr>
        <w:ind w:left="360"/>
      </w:pPr>
    </w:p>
    <w:p w:rsidR="003C47C4" w:rsidRDefault="003C47C4" w:rsidP="00192E7F">
      <w:r>
        <w:t xml:space="preserve">The group then briefly talked about topics for future meeting and the format of future meetings.  The topics of interest included: wind integration issues, coal plant closures, </w:t>
      </w:r>
      <w:proofErr w:type="gramStart"/>
      <w:r>
        <w:t>NG</w:t>
      </w:r>
      <w:proofErr w:type="gramEnd"/>
      <w:r>
        <w:t xml:space="preserve"> powered vehicles.   </w:t>
      </w:r>
    </w:p>
    <w:p w:rsidR="002C5063" w:rsidRDefault="002C5063" w:rsidP="00192E7F"/>
    <w:p w:rsidR="00683B97" w:rsidRDefault="003C47C4" w:rsidP="00192E7F">
      <w:r>
        <w:t xml:space="preserve">The meeting ended at 2:00 pm as scheduled. </w:t>
      </w:r>
    </w:p>
    <w:p w:rsidR="00683B97" w:rsidRDefault="00683B97" w:rsidP="00192E7F"/>
    <w:p w:rsidR="002C5063" w:rsidRDefault="002C5063" w:rsidP="00192E7F"/>
    <w:p w:rsidR="002C5063" w:rsidRDefault="002C5063" w:rsidP="00192E7F"/>
    <w:p w:rsidR="002C5063" w:rsidRDefault="002C5063" w:rsidP="00192E7F"/>
    <w:p w:rsidR="002C5063" w:rsidRDefault="002C5063" w:rsidP="00192E7F"/>
    <w:p w:rsidR="00683B97" w:rsidRDefault="003C47C4" w:rsidP="00192E7F">
      <w:r>
        <w:t>These notes are an accurate summary of the discussion at the June 16</w:t>
      </w:r>
      <w:r w:rsidRPr="003C47C4">
        <w:rPr>
          <w:vertAlign w:val="superscript"/>
        </w:rPr>
        <w:t>th</w:t>
      </w:r>
      <w:r>
        <w:t xml:space="preserve"> 2011 NGAC meeting.</w:t>
      </w:r>
    </w:p>
    <w:p w:rsidR="00683B97" w:rsidRDefault="00683B97" w:rsidP="00192E7F"/>
    <w:p w:rsidR="000D45F9" w:rsidRDefault="000D45F9" w:rsidP="00192E7F"/>
    <w:p w:rsidR="000D45F9" w:rsidRDefault="000D45F9" w:rsidP="00192E7F"/>
    <w:p w:rsidR="00683B97" w:rsidRDefault="00EE56E3" w:rsidP="00192E7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15pt;margin-top:8.4pt;width:402.05pt;height:.55pt;z-index:251658240" o:connectortype="straight"/>
        </w:pict>
      </w:r>
    </w:p>
    <w:p w:rsidR="003C47C4" w:rsidRDefault="00683B97" w:rsidP="00192E7F">
      <w:r>
        <w:t xml:space="preserve">Massoud Jourabchi </w:t>
      </w:r>
      <w:r w:rsidR="001E38F5">
        <w:t xml:space="preserve">Chair </w:t>
      </w:r>
    </w:p>
    <w:p w:rsidR="002C5063" w:rsidRDefault="002C5063">
      <w:r>
        <w:br w:type="page"/>
      </w:r>
    </w:p>
    <w:tbl>
      <w:tblPr>
        <w:tblW w:w="10027" w:type="dxa"/>
        <w:tblInd w:w="-702" w:type="dxa"/>
        <w:tblLook w:val="04A0"/>
      </w:tblPr>
      <w:tblGrid>
        <w:gridCol w:w="2610"/>
        <w:gridCol w:w="3330"/>
        <w:gridCol w:w="1547"/>
        <w:gridCol w:w="2318"/>
        <w:gridCol w:w="222"/>
      </w:tblGrid>
      <w:tr w:rsidR="003F6DB0" w:rsidRPr="003F6DB0" w:rsidTr="003F6DB0">
        <w:trPr>
          <w:trHeight w:val="40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b/>
                <w:bCs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b/>
                <w:bCs/>
                <w:color w:val="000000"/>
                <w:sz w:val="22"/>
                <w:szCs w:val="32"/>
              </w:rPr>
              <w:lastRenderedPageBreak/>
              <w:t>June 16 2011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b/>
                <w:bCs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b/>
                <w:bCs/>
                <w:color w:val="000000"/>
                <w:sz w:val="22"/>
                <w:szCs w:val="32"/>
              </w:rPr>
              <w:t>Natural Gas Advisory Committee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7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86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3F6DB0" w:rsidRPr="003F6DB0" w:rsidRDefault="003F6DB0" w:rsidP="003F6DB0">
            <w:pPr>
              <w:rPr>
                <w:b/>
                <w:bCs/>
                <w:color w:val="000000"/>
                <w:sz w:val="22"/>
                <w:szCs w:val="32"/>
              </w:rPr>
            </w:pPr>
            <w:r w:rsidRPr="003F6DB0">
              <w:rPr>
                <w:b/>
                <w:bCs/>
                <w:color w:val="000000"/>
                <w:sz w:val="22"/>
                <w:szCs w:val="32"/>
              </w:rPr>
              <w:t xml:space="preserve">Name  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3F6DB0" w:rsidRPr="003F6DB0" w:rsidRDefault="003F6DB0" w:rsidP="003F6DB0">
            <w:pPr>
              <w:rPr>
                <w:b/>
                <w:bCs/>
                <w:color w:val="000000"/>
                <w:sz w:val="22"/>
                <w:szCs w:val="32"/>
              </w:rPr>
            </w:pPr>
            <w:r w:rsidRPr="003F6DB0">
              <w:rPr>
                <w:b/>
                <w:bCs/>
                <w:color w:val="000000"/>
                <w:sz w:val="22"/>
                <w:szCs w:val="32"/>
              </w:rPr>
              <w:t>Affiliation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hideMark/>
          </w:tcPr>
          <w:p w:rsidR="003F6DB0" w:rsidRPr="003F6DB0" w:rsidRDefault="003F6DB0" w:rsidP="003F6DB0">
            <w:pPr>
              <w:rPr>
                <w:b/>
                <w:bCs/>
                <w:color w:val="000000"/>
                <w:sz w:val="22"/>
                <w:szCs w:val="32"/>
              </w:rPr>
            </w:pPr>
            <w:r w:rsidRPr="003F6DB0">
              <w:rPr>
                <w:b/>
                <w:bCs/>
                <w:color w:val="000000"/>
                <w:sz w:val="22"/>
                <w:szCs w:val="32"/>
              </w:rPr>
              <w:t>Attending in Person</w:t>
            </w:r>
          </w:p>
        </w:tc>
        <w:tc>
          <w:tcPr>
            <w:tcW w:w="23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E6E6"/>
            <w:hideMark/>
          </w:tcPr>
          <w:p w:rsidR="003F6DB0" w:rsidRPr="003F6DB0" w:rsidRDefault="003F6DB0" w:rsidP="003F6DB0">
            <w:pPr>
              <w:rPr>
                <w:b/>
                <w:bCs/>
                <w:color w:val="000000"/>
                <w:sz w:val="22"/>
                <w:szCs w:val="32"/>
              </w:rPr>
            </w:pPr>
            <w:r w:rsidRPr="003F6DB0">
              <w:rPr>
                <w:b/>
                <w:bCs/>
                <w:color w:val="000000"/>
                <w:sz w:val="22"/>
                <w:szCs w:val="32"/>
              </w:rPr>
              <w:t>By Phone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314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Dernovsek, David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Bonneville Power Admin.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6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Petty, Robert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Bonneville Power Admin.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6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 xml:space="preserve">Sara Patton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Northwest Energy Coalition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6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Bennett, David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proofErr w:type="spellStart"/>
            <w:r w:rsidRPr="003F6DB0">
              <w:rPr>
                <w:color w:val="000000"/>
                <w:sz w:val="22"/>
                <w:szCs w:val="32"/>
              </w:rPr>
              <w:t>FortisBC</w:t>
            </w:r>
            <w:proofErr w:type="spell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6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Bridges, John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TransCanada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87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Defenbach, Byron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Intermountain Gas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6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Dragoon, Ken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NWPCC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6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Friedman, Randy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NW Natural Gas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06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Gopal, Jairam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Southern CA Edison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33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Hamilton, Linda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Shell Trading Gas &amp; Power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188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Harper, Rick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Consultant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15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Hawk, David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Energy Analysis &amp; Answers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51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Hiaasen, Eric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EWEB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96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Jacobsen, Jay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Puget Sound Energy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33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Jourabchi, Massoud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NWPCC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6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Kern, Steve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 xml:space="preserve">Seattle City Light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15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Kirschner, Dan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Northwest Gas Association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51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Kunz, Rick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Shell Trading Gas &amp; Power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78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Venz, Gary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Northwest Pipeline-Williams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323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Morlan, Terry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NWPCC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35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Nothstein, Greg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Washington State Energy Office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96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Popoff, Phillip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Puget Sound Energy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6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Pyron, Paula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NW Industrial Gas Users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cs="Arial"/>
                <w:color w:val="000000"/>
                <w:sz w:val="22"/>
                <w:szCs w:val="32"/>
              </w:rPr>
              <w:t>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15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Kelly Irvine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Avista Corp.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51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Riding, Clay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Puget Sound Energy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87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Ruben Tavares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CEC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24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Staple, Greg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Spectra Energy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69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Van Vactor, Sam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Economic Insight, Inc.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06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Marc Vatter (alternate)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Economic Insight, Inc.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33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White, Jay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TransCanada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87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Dickens, Bill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Tacoma Power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314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Zimmerman, Ken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Oregon PUC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58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58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Other Participants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42"/>
        </w:trPr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>
              <w:rPr>
                <w:color w:val="000000"/>
                <w:sz w:val="22"/>
                <w:szCs w:val="32"/>
              </w:rPr>
              <w:t>Jeff King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>
              <w:rPr>
                <w:color w:val="000000"/>
                <w:sz w:val="22"/>
                <w:szCs w:val="32"/>
              </w:rPr>
              <w:t>Jeffery C. King and Associates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42"/>
        </w:trPr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>
              <w:rPr>
                <w:color w:val="000000"/>
                <w:sz w:val="22"/>
                <w:szCs w:val="32"/>
              </w:rPr>
              <w:t>Ken Corum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>
              <w:rPr>
                <w:color w:val="000000"/>
                <w:sz w:val="22"/>
                <w:szCs w:val="32"/>
              </w:rPr>
              <w:t>NWPCC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42"/>
        </w:trPr>
        <w:tc>
          <w:tcPr>
            <w:tcW w:w="2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Lynn Dahlberg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Williams - Northwest Pipeline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33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David White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Trans</w:t>
            </w:r>
            <w:r>
              <w:rPr>
                <w:color w:val="000000"/>
                <w:sz w:val="22"/>
                <w:szCs w:val="32"/>
              </w:rPr>
              <w:t>C</w:t>
            </w:r>
            <w:r w:rsidRPr="003F6DB0">
              <w:rPr>
                <w:color w:val="000000"/>
                <w:sz w:val="22"/>
                <w:szCs w:val="32"/>
              </w:rPr>
              <w:t>anada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  <w:tr w:rsidR="003F6DB0" w:rsidRPr="003F6DB0" w:rsidTr="003F6DB0">
        <w:trPr>
          <w:trHeight w:val="269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David Clement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DB0" w:rsidRPr="003F6DB0" w:rsidRDefault="003F6DB0" w:rsidP="003F6DB0">
            <w:pPr>
              <w:rPr>
                <w:color w:val="000000"/>
                <w:sz w:val="22"/>
                <w:szCs w:val="32"/>
              </w:rPr>
            </w:pPr>
            <w:r w:rsidRPr="003F6DB0">
              <w:rPr>
                <w:color w:val="000000"/>
                <w:sz w:val="22"/>
                <w:szCs w:val="32"/>
              </w:rPr>
              <w:t>Seattle City Light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Arial" w:hAnsi="Arial" w:cs="Arial"/>
                <w:color w:val="000000"/>
                <w:sz w:val="22"/>
                <w:szCs w:val="32"/>
              </w:rPr>
            </w:pPr>
            <w:r w:rsidRPr="003F6DB0">
              <w:rPr>
                <w:rFonts w:ascii="Arial" w:hAnsi="Arial" w:cs="Arial"/>
                <w:color w:val="000000"/>
                <w:sz w:val="22"/>
                <w:szCs w:val="32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DB0" w:rsidRPr="003F6DB0" w:rsidRDefault="003F6DB0" w:rsidP="003F6DB0">
            <w:pPr>
              <w:rPr>
                <w:rFonts w:ascii="Wingdings" w:hAnsi="Wingdings" w:cs="Arial"/>
                <w:color w:val="000000"/>
                <w:sz w:val="22"/>
                <w:szCs w:val="32"/>
              </w:rPr>
            </w:pPr>
            <w:r w:rsidRPr="003F6DB0">
              <w:rPr>
                <w:rFonts w:ascii="Wingdings" w:hAnsi="Wingdings" w:cs="Arial"/>
                <w:color w:val="000000"/>
                <w:sz w:val="22"/>
                <w:szCs w:val="32"/>
              </w:rPr>
              <w:t></w:t>
            </w:r>
          </w:p>
        </w:tc>
        <w:tc>
          <w:tcPr>
            <w:tcW w:w="0" w:type="auto"/>
            <w:vAlign w:val="center"/>
            <w:hideMark/>
          </w:tcPr>
          <w:p w:rsidR="003F6DB0" w:rsidRPr="003F6DB0" w:rsidRDefault="003F6DB0" w:rsidP="003F6DB0">
            <w:pPr>
              <w:rPr>
                <w:sz w:val="22"/>
                <w:szCs w:val="20"/>
              </w:rPr>
            </w:pPr>
          </w:p>
        </w:tc>
      </w:tr>
    </w:tbl>
    <w:p w:rsidR="003C47C4" w:rsidRDefault="003C47C4" w:rsidP="00E676BC">
      <w:pPr>
        <w:ind w:left="360"/>
      </w:pPr>
    </w:p>
    <w:p w:rsidR="003C47C4" w:rsidRDefault="003C47C4" w:rsidP="00E676BC">
      <w:pPr>
        <w:ind w:left="360"/>
      </w:pPr>
    </w:p>
    <w:p w:rsidR="003C47C4" w:rsidRDefault="003C47C4" w:rsidP="00E676BC">
      <w:pPr>
        <w:ind w:left="360"/>
      </w:pPr>
    </w:p>
    <w:p w:rsidR="003C47C4" w:rsidRDefault="003C47C4" w:rsidP="00E676BC">
      <w:pPr>
        <w:ind w:left="360"/>
      </w:pPr>
    </w:p>
    <w:p w:rsidR="00E676BC" w:rsidRDefault="00E676BC" w:rsidP="00E676BC">
      <w:pPr>
        <w:ind w:left="360"/>
      </w:pPr>
      <w:r>
        <w:t>Draft Agenda</w:t>
      </w:r>
    </w:p>
    <w:p w:rsidR="00E676BC" w:rsidRDefault="00E676BC" w:rsidP="00E676BC">
      <w:pPr>
        <w:ind w:left="360"/>
      </w:pPr>
    </w:p>
    <w:p w:rsidR="00285B1E" w:rsidRPr="00E676BC" w:rsidRDefault="00285B1E" w:rsidP="00E676BC">
      <w:pPr>
        <w:numPr>
          <w:ilvl w:val="0"/>
          <w:numId w:val="5"/>
        </w:numPr>
      </w:pPr>
      <w:r w:rsidRPr="00E676BC">
        <w:t xml:space="preserve">Welcome and introductions </w:t>
      </w:r>
    </w:p>
    <w:p w:rsidR="00285B1E" w:rsidRPr="00E676BC" w:rsidRDefault="00285B1E" w:rsidP="00E676BC">
      <w:pPr>
        <w:numPr>
          <w:ilvl w:val="1"/>
          <w:numId w:val="5"/>
        </w:numPr>
      </w:pPr>
      <w:r w:rsidRPr="00E676BC">
        <w:t>News from members</w:t>
      </w:r>
      <w:r w:rsidRPr="00E676BC">
        <w:tab/>
        <w:t xml:space="preserve">                              </w:t>
      </w:r>
      <w:r w:rsidR="00E676BC">
        <w:tab/>
      </w:r>
      <w:r w:rsidR="00E676BC">
        <w:tab/>
      </w:r>
      <w:r w:rsidR="00E676BC">
        <w:tab/>
      </w:r>
      <w:r w:rsidRPr="00E676BC">
        <w:t>10:00-10:30</w:t>
      </w:r>
    </w:p>
    <w:p w:rsidR="00285B1E" w:rsidRPr="00E676BC" w:rsidRDefault="00285B1E" w:rsidP="00E676BC">
      <w:pPr>
        <w:numPr>
          <w:ilvl w:val="0"/>
          <w:numId w:val="5"/>
        </w:numPr>
      </w:pPr>
      <w:r w:rsidRPr="00E676BC">
        <w:t xml:space="preserve">Northwest Gas Association 2011 Outlook            </w:t>
      </w:r>
      <w:r w:rsidR="00E676BC">
        <w:tab/>
      </w:r>
      <w:r w:rsidR="00E676BC">
        <w:tab/>
      </w:r>
      <w:r w:rsidR="00E676BC">
        <w:tab/>
      </w:r>
      <w:r w:rsidRPr="00E676BC">
        <w:t>10:30-11:00</w:t>
      </w:r>
    </w:p>
    <w:p w:rsidR="00285B1E" w:rsidRPr="00E676BC" w:rsidRDefault="00285B1E" w:rsidP="00E676BC">
      <w:pPr>
        <w:numPr>
          <w:ilvl w:val="0"/>
          <w:numId w:val="5"/>
        </w:numPr>
      </w:pPr>
      <w:r w:rsidRPr="00E676BC">
        <w:t xml:space="preserve">What has happened since last meeting  </w:t>
      </w:r>
      <w:r w:rsidR="00E676BC">
        <w:tab/>
      </w:r>
      <w:r w:rsidR="00E676BC">
        <w:tab/>
      </w:r>
      <w:r w:rsidR="00E676BC">
        <w:tab/>
      </w:r>
      <w:r w:rsidR="00E676BC">
        <w:tab/>
      </w:r>
      <w:r w:rsidRPr="00E676BC">
        <w:t xml:space="preserve">11:00-11:45  </w:t>
      </w:r>
    </w:p>
    <w:p w:rsidR="00285B1E" w:rsidRPr="00E676BC" w:rsidRDefault="00285B1E" w:rsidP="00E676BC">
      <w:pPr>
        <w:numPr>
          <w:ilvl w:val="1"/>
          <w:numId w:val="5"/>
        </w:numPr>
      </w:pPr>
      <w:r w:rsidRPr="00E676BC">
        <w:t xml:space="preserve">Comparison to actual prices                              </w:t>
      </w:r>
    </w:p>
    <w:p w:rsidR="00285B1E" w:rsidRPr="00E676BC" w:rsidRDefault="00285B1E" w:rsidP="00E676BC">
      <w:pPr>
        <w:numPr>
          <w:ilvl w:val="1"/>
          <w:numId w:val="5"/>
        </w:numPr>
      </w:pPr>
      <w:r w:rsidRPr="00E676BC">
        <w:t>Update on analytics</w:t>
      </w:r>
    </w:p>
    <w:p w:rsidR="00285B1E" w:rsidRPr="00E676BC" w:rsidRDefault="00285B1E" w:rsidP="00E676BC">
      <w:pPr>
        <w:numPr>
          <w:ilvl w:val="1"/>
          <w:numId w:val="5"/>
        </w:numPr>
      </w:pPr>
      <w:r w:rsidRPr="00E676BC">
        <w:t>Short-term Forecast</w:t>
      </w:r>
    </w:p>
    <w:p w:rsidR="00285B1E" w:rsidRPr="00E676BC" w:rsidRDefault="00285B1E" w:rsidP="00E676BC">
      <w:pPr>
        <w:numPr>
          <w:ilvl w:val="1"/>
          <w:numId w:val="5"/>
        </w:numPr>
      </w:pPr>
      <w:r w:rsidRPr="00E676BC">
        <w:t xml:space="preserve">Fuel price poll </w:t>
      </w:r>
    </w:p>
    <w:p w:rsidR="00285B1E" w:rsidRPr="00E676BC" w:rsidRDefault="00285B1E" w:rsidP="00E676BC">
      <w:pPr>
        <w:numPr>
          <w:ilvl w:val="0"/>
          <w:numId w:val="5"/>
        </w:numPr>
      </w:pPr>
      <w:r w:rsidRPr="00E676BC">
        <w:t xml:space="preserve">Lunch </w:t>
      </w:r>
      <w:r w:rsidRPr="00E676BC">
        <w:tab/>
      </w:r>
      <w:r w:rsidRPr="00E676BC">
        <w:tab/>
        <w:t xml:space="preserve">                 </w:t>
      </w:r>
      <w:r w:rsidRPr="00E676BC">
        <w:tab/>
      </w:r>
      <w:r w:rsidRPr="00E676BC">
        <w:tab/>
        <w:t xml:space="preserve">              </w:t>
      </w:r>
      <w:r w:rsidR="00E676BC">
        <w:tab/>
      </w:r>
      <w:r w:rsidRPr="00E676BC">
        <w:t xml:space="preserve"> </w:t>
      </w:r>
      <w:r w:rsidR="00E676BC">
        <w:tab/>
      </w:r>
      <w:r w:rsidR="00E676BC">
        <w:tab/>
      </w:r>
      <w:r w:rsidRPr="00E676BC">
        <w:t xml:space="preserve">11:45-1:00 </w:t>
      </w:r>
    </w:p>
    <w:p w:rsidR="00285B1E" w:rsidRPr="00E676BC" w:rsidRDefault="00285B1E" w:rsidP="00E676BC">
      <w:pPr>
        <w:numPr>
          <w:ilvl w:val="0"/>
          <w:numId w:val="5"/>
        </w:numPr>
      </w:pPr>
      <w:r w:rsidRPr="00E676BC">
        <w:t>Discussion on need for revision to Long-term forecast</w:t>
      </w:r>
      <w:r w:rsidRPr="00E676BC">
        <w:tab/>
        <w:t xml:space="preserve">    </w:t>
      </w:r>
      <w:r w:rsidR="00E676BC">
        <w:tab/>
      </w:r>
      <w:r w:rsidRPr="00E676BC">
        <w:t>1:00-1:45</w:t>
      </w:r>
    </w:p>
    <w:p w:rsidR="00285B1E" w:rsidRPr="00E676BC" w:rsidRDefault="00285B1E" w:rsidP="00E676BC">
      <w:pPr>
        <w:numPr>
          <w:ilvl w:val="1"/>
          <w:numId w:val="5"/>
        </w:numPr>
      </w:pPr>
      <w:r w:rsidRPr="00E676BC">
        <w:t>Comparison to other forecasts</w:t>
      </w:r>
    </w:p>
    <w:p w:rsidR="00285B1E" w:rsidRPr="00E676BC" w:rsidRDefault="00285B1E" w:rsidP="00E676BC">
      <w:pPr>
        <w:numPr>
          <w:ilvl w:val="0"/>
          <w:numId w:val="5"/>
        </w:numPr>
      </w:pPr>
      <w:r w:rsidRPr="00E676BC">
        <w:t xml:space="preserve">Discussion of other issues raised by NGAC members.      </w:t>
      </w:r>
    </w:p>
    <w:p w:rsidR="00285B1E" w:rsidRPr="00E676BC" w:rsidRDefault="00285B1E" w:rsidP="00E676BC">
      <w:pPr>
        <w:numPr>
          <w:ilvl w:val="0"/>
          <w:numId w:val="5"/>
        </w:numPr>
      </w:pPr>
      <w:r w:rsidRPr="00E676BC">
        <w:t xml:space="preserve"> Next steps  </w:t>
      </w:r>
    </w:p>
    <w:p w:rsidR="00000EFD" w:rsidRDefault="00000EFD" w:rsidP="00000EFD"/>
    <w:p w:rsidR="001F5067" w:rsidRDefault="001F5067" w:rsidP="00000EFD"/>
    <w:p w:rsidR="00A96E34" w:rsidRDefault="001F5067" w:rsidP="00000EFD">
      <w:r>
        <w:t>________________________________________</w:t>
      </w:r>
    </w:p>
    <w:p w:rsidR="00A96E34" w:rsidRDefault="00A96E34" w:rsidP="00000EFD">
      <w:r>
        <w:t>________________________________________</w:t>
      </w:r>
    </w:p>
    <w:p w:rsidR="00A96E34" w:rsidRPr="00A96E34" w:rsidRDefault="00A96E34" w:rsidP="00000EFD">
      <w:pPr>
        <w:rPr>
          <w:color w:val="FF0000"/>
          <w:sz w:val="12"/>
        </w:rPr>
      </w:pPr>
      <w:bookmarkStart w:id="0" w:name="Tagg"/>
    </w:p>
    <w:p w:rsidR="001F5067" w:rsidRPr="00A96E34" w:rsidRDefault="00A96E34" w:rsidP="00000EFD">
      <w:pPr>
        <w:rPr>
          <w:color w:val="FF0000"/>
          <w:sz w:val="12"/>
        </w:rPr>
      </w:pPr>
      <w:r w:rsidRPr="00A96E34">
        <w:rPr>
          <w:color w:val="FF0000"/>
          <w:sz w:val="12"/>
        </w:rPr>
        <w:t>q:\mj\ex\fuel\gas advisory group material\</w:t>
      </w:r>
      <w:proofErr w:type="gramStart"/>
      <w:r w:rsidRPr="00A96E34">
        <w:rPr>
          <w:color w:val="FF0000"/>
          <w:sz w:val="12"/>
        </w:rPr>
        <w:t>natural  gas</w:t>
      </w:r>
      <w:proofErr w:type="gramEnd"/>
      <w:r w:rsidRPr="00A96E34">
        <w:rPr>
          <w:color w:val="FF0000"/>
          <w:sz w:val="12"/>
        </w:rPr>
        <w:t xml:space="preserve"> advisory committee-minutes </w:t>
      </w:r>
      <w:proofErr w:type="spellStart"/>
      <w:r w:rsidRPr="00A96E34">
        <w:rPr>
          <w:color w:val="FF0000"/>
          <w:sz w:val="12"/>
        </w:rPr>
        <w:t>june</w:t>
      </w:r>
      <w:proofErr w:type="spellEnd"/>
      <w:r w:rsidRPr="00A96E34">
        <w:rPr>
          <w:color w:val="FF0000"/>
          <w:sz w:val="12"/>
        </w:rPr>
        <w:t xml:space="preserve"> 16 2011.docx</w:t>
      </w:r>
      <w:bookmarkEnd w:id="0"/>
    </w:p>
    <w:sectPr w:rsidR="001F5067" w:rsidRPr="00A96E34" w:rsidSect="00E2729F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15F"/>
    <w:multiLevelType w:val="hybridMultilevel"/>
    <w:tmpl w:val="791EE33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04347F10"/>
    <w:multiLevelType w:val="hybridMultilevel"/>
    <w:tmpl w:val="DA0A2FB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21142449"/>
    <w:multiLevelType w:val="hybridMultilevel"/>
    <w:tmpl w:val="5F3C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650D4"/>
    <w:multiLevelType w:val="hybridMultilevel"/>
    <w:tmpl w:val="5E1CB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AA3C8E"/>
    <w:multiLevelType w:val="hybridMultilevel"/>
    <w:tmpl w:val="934C4420"/>
    <w:lvl w:ilvl="0" w:tplc="FFA633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E41A28">
      <w:start w:val="63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04E0E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1A7B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701E4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9E2A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42BB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F7A86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FCC1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5332AF7"/>
    <w:multiLevelType w:val="hybridMultilevel"/>
    <w:tmpl w:val="FFCE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06566"/>
    <w:multiLevelType w:val="hybridMultilevel"/>
    <w:tmpl w:val="8C341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900356"/>
    <w:multiLevelType w:val="hybridMultilevel"/>
    <w:tmpl w:val="53EAA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20"/>
  <w:characterSpacingControl w:val="doNotCompress"/>
  <w:compat/>
  <w:rsids>
    <w:rsidRoot w:val="00F14A38"/>
    <w:rsid w:val="00000EFD"/>
    <w:rsid w:val="00020E99"/>
    <w:rsid w:val="0003704F"/>
    <w:rsid w:val="00094144"/>
    <w:rsid w:val="000D1DFF"/>
    <w:rsid w:val="000D45F9"/>
    <w:rsid w:val="000F6E96"/>
    <w:rsid w:val="001072BB"/>
    <w:rsid w:val="00161DEF"/>
    <w:rsid w:val="00185219"/>
    <w:rsid w:val="00192E7F"/>
    <w:rsid w:val="0019461B"/>
    <w:rsid w:val="001A09F7"/>
    <w:rsid w:val="001A6EF8"/>
    <w:rsid w:val="001B7043"/>
    <w:rsid w:val="001E38F5"/>
    <w:rsid w:val="001F0727"/>
    <w:rsid w:val="001F5067"/>
    <w:rsid w:val="00205FC6"/>
    <w:rsid w:val="00285B1E"/>
    <w:rsid w:val="002B2E68"/>
    <w:rsid w:val="002C5063"/>
    <w:rsid w:val="00331FB5"/>
    <w:rsid w:val="00377F58"/>
    <w:rsid w:val="003A0ABF"/>
    <w:rsid w:val="003C47C4"/>
    <w:rsid w:val="003F6DB0"/>
    <w:rsid w:val="0047530A"/>
    <w:rsid w:val="00480B49"/>
    <w:rsid w:val="004D1759"/>
    <w:rsid w:val="005266E0"/>
    <w:rsid w:val="0053475A"/>
    <w:rsid w:val="00573CF1"/>
    <w:rsid w:val="00574575"/>
    <w:rsid w:val="005F2606"/>
    <w:rsid w:val="00683B97"/>
    <w:rsid w:val="006E5AEE"/>
    <w:rsid w:val="00753D44"/>
    <w:rsid w:val="007827CC"/>
    <w:rsid w:val="007929C2"/>
    <w:rsid w:val="007C7303"/>
    <w:rsid w:val="00844DDC"/>
    <w:rsid w:val="00846219"/>
    <w:rsid w:val="008D3667"/>
    <w:rsid w:val="008D50AC"/>
    <w:rsid w:val="009277A8"/>
    <w:rsid w:val="00961F85"/>
    <w:rsid w:val="00972A20"/>
    <w:rsid w:val="009D74BD"/>
    <w:rsid w:val="00A333A5"/>
    <w:rsid w:val="00A460B4"/>
    <w:rsid w:val="00A82987"/>
    <w:rsid w:val="00A96E34"/>
    <w:rsid w:val="00B641AD"/>
    <w:rsid w:val="00BB11E4"/>
    <w:rsid w:val="00C02812"/>
    <w:rsid w:val="00C05540"/>
    <w:rsid w:val="00C05E23"/>
    <w:rsid w:val="00C704DC"/>
    <w:rsid w:val="00D323A2"/>
    <w:rsid w:val="00D73BF6"/>
    <w:rsid w:val="00DA5ACC"/>
    <w:rsid w:val="00DF3D82"/>
    <w:rsid w:val="00E165CF"/>
    <w:rsid w:val="00E2729F"/>
    <w:rsid w:val="00E676BC"/>
    <w:rsid w:val="00E81ED9"/>
    <w:rsid w:val="00E835C8"/>
    <w:rsid w:val="00EA7E0A"/>
    <w:rsid w:val="00EE1DB1"/>
    <w:rsid w:val="00EE56E3"/>
    <w:rsid w:val="00F048B4"/>
    <w:rsid w:val="00F14A38"/>
    <w:rsid w:val="00F407B2"/>
    <w:rsid w:val="00F45E0D"/>
    <w:rsid w:val="00F51D0D"/>
    <w:rsid w:val="00F74EEC"/>
    <w:rsid w:val="00FC2E15"/>
    <w:rsid w:val="00FD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3C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1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D7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74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61F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61F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89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59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7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4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08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76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9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74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9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8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11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wcouncil.org/energy/ngac/meetings/2011_06/Presentation%20material%20for%20the%20NGAC%20June%202011.ppt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wcouncil.org/energy/ngac/meetings/2011_06/061611%20NWPCC-%20Randy%27s%20Presentation%20stack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C\ww\template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85083-E72C-4882-AC7C-12D0533B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5</Pages>
  <Words>1359</Words>
  <Characters>7560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Power and Conservation Council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Morlan</dc:creator>
  <cp:lastModifiedBy>Gillian Charles</cp:lastModifiedBy>
  <cp:revision>2</cp:revision>
  <cp:lastPrinted>2011-06-16T22:22:00Z</cp:lastPrinted>
  <dcterms:created xsi:type="dcterms:W3CDTF">2011-07-05T18:21:00Z</dcterms:created>
  <dcterms:modified xsi:type="dcterms:W3CDTF">2011-07-05T18:21:00Z</dcterms:modified>
</cp:coreProperties>
</file>