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661383"/>
        <w:docPartObj>
          <w:docPartGallery w:val="Cover Pages"/>
          <w:docPartUnique/>
        </w:docPartObj>
      </w:sdtPr>
      <w:sdtContent>
        <w:tbl>
          <w:tblPr>
            <w:tblpPr w:leftFromText="187" w:rightFromText="187" w:horzAnchor="margin" w:tblpXSpec="center" w:tblpY="2881"/>
            <w:tblW w:w="4000" w:type="pct"/>
            <w:tblBorders>
              <w:left w:val="single" w:sz="18" w:space="0" w:color="4F81BD" w:themeColor="accent1"/>
            </w:tblBorders>
            <w:tblLook w:val="04A0"/>
          </w:tblPr>
          <w:tblGrid>
            <w:gridCol w:w="7096"/>
          </w:tblGrid>
          <w:tr w:rsidR="008601FE">
            <w:tc>
              <w:tcPr>
                <w:tcW w:w="7672" w:type="dxa"/>
                <w:tcMar>
                  <w:top w:w="216" w:type="dxa"/>
                  <w:left w:w="115" w:type="dxa"/>
                  <w:bottom w:w="216" w:type="dxa"/>
                  <w:right w:w="115" w:type="dxa"/>
                </w:tcMar>
              </w:tcPr>
              <w:p w:rsidR="008601FE" w:rsidRDefault="008601FE" w:rsidP="00C12127">
                <w:pPr>
                  <w:pStyle w:val="NoSpacing"/>
                </w:pPr>
              </w:p>
            </w:tc>
          </w:tr>
          <w:tr w:rsidR="008601FE" w:rsidRPr="00C12127">
            <w:tc>
              <w:tcPr>
                <w:tcW w:w="7672" w:type="dxa"/>
              </w:tcPr>
              <w:sdt>
                <w:sdtPr>
                  <w:rPr>
                    <w:color w:val="4F81BD" w:themeColor="accent1"/>
                    <w:sz w:val="72"/>
                    <w:szCs w:val="72"/>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8601FE" w:rsidRPr="00C12127" w:rsidRDefault="008601FE" w:rsidP="008601FE">
                    <w:pPr>
                      <w:pStyle w:val="NoSpacing"/>
                      <w:rPr>
                        <w:color w:val="4F81BD" w:themeColor="accent1"/>
                        <w:sz w:val="72"/>
                        <w:szCs w:val="72"/>
                      </w:rPr>
                    </w:pPr>
                    <w:r w:rsidRPr="00C12127">
                      <w:rPr>
                        <w:color w:val="4F81BD" w:themeColor="accent1"/>
                        <w:sz w:val="72"/>
                        <w:szCs w:val="72"/>
                      </w:rPr>
                      <w:t>A Resource Adequacy Standard for the Pacific Northwest</w:t>
                    </w:r>
                  </w:p>
                </w:sdtContent>
              </w:sdt>
            </w:tc>
          </w:tr>
          <w:tr w:rsidR="008601FE" w:rsidRPr="00C12127">
            <w:sdt>
              <w:sdtPr>
                <w:rPr>
                  <w:sz w:val="28"/>
                  <w:szCs w:val="28"/>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8601FE" w:rsidRPr="00C12127" w:rsidRDefault="00DC6C56" w:rsidP="008601FE">
                    <w:pPr>
                      <w:pStyle w:val="NoSpacing"/>
                      <w:rPr>
                        <w:sz w:val="72"/>
                        <w:szCs w:val="72"/>
                      </w:rPr>
                    </w:pPr>
                    <w:r>
                      <w:rPr>
                        <w:sz w:val="28"/>
                        <w:szCs w:val="28"/>
                      </w:rPr>
                      <w:t>Working Draft – Version 3</w:t>
                    </w:r>
                  </w:p>
                </w:tc>
              </w:sdtContent>
            </w:sdt>
          </w:tr>
        </w:tbl>
        <w:p w:rsidR="008601FE" w:rsidRPr="00C12127" w:rsidRDefault="008601FE">
          <w:pPr>
            <w:rPr>
              <w:sz w:val="72"/>
              <w:szCs w:val="72"/>
            </w:rPr>
          </w:pPr>
          <w:r w:rsidRPr="00C12127">
            <w:rPr>
              <w:noProof/>
              <w:sz w:val="72"/>
              <w:szCs w:val="72"/>
              <w:lang w:bidi="ar-SA"/>
            </w:rPr>
            <w:drawing>
              <wp:anchor distT="0" distB="0" distL="114300" distR="114300" simplePos="0" relativeHeight="251659264" behindDoc="0" locked="0" layoutInCell="1" allowOverlap="1">
                <wp:simplePos x="0" y="0"/>
                <wp:positionH relativeFrom="column">
                  <wp:posOffset>4689997</wp:posOffset>
                </wp:positionH>
                <wp:positionV relativeFrom="paragraph">
                  <wp:posOffset>-375313</wp:posOffset>
                </wp:positionV>
                <wp:extent cx="1373021" cy="1160060"/>
                <wp:effectExtent l="19050" t="0" r="0" b="0"/>
                <wp:wrapNone/>
                <wp:docPr id="1" name="Picture 0" descr="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 Logo.jpg"/>
                        <pic:cNvPicPr/>
                      </pic:nvPicPr>
                      <pic:blipFill>
                        <a:blip r:embed="rId9" cstate="print"/>
                        <a:stretch>
                          <a:fillRect/>
                        </a:stretch>
                      </pic:blipFill>
                      <pic:spPr>
                        <a:xfrm>
                          <a:off x="0" y="0"/>
                          <a:ext cx="1373021" cy="1160060"/>
                        </a:xfrm>
                        <a:prstGeom prst="rect">
                          <a:avLst/>
                        </a:prstGeom>
                      </pic:spPr>
                    </pic:pic>
                  </a:graphicData>
                </a:graphic>
              </wp:anchor>
            </w:drawing>
          </w:r>
        </w:p>
        <w:p w:rsidR="008601FE" w:rsidRPr="00C12127" w:rsidRDefault="008601FE">
          <w:pPr>
            <w:rPr>
              <w:sz w:val="72"/>
              <w:szCs w:val="72"/>
            </w:rPr>
          </w:pPr>
        </w:p>
        <w:tbl>
          <w:tblPr>
            <w:tblpPr w:leftFromText="187" w:rightFromText="187" w:horzAnchor="margin" w:tblpXSpec="center" w:tblpYSpec="bottom"/>
            <w:tblW w:w="4000" w:type="pct"/>
            <w:tblLook w:val="04A0"/>
          </w:tblPr>
          <w:tblGrid>
            <w:gridCol w:w="7096"/>
          </w:tblGrid>
          <w:tr w:rsidR="008601FE" w:rsidRPr="00C12127" w:rsidTr="008601FE">
            <w:tc>
              <w:tcPr>
                <w:tcW w:w="7096" w:type="dxa"/>
                <w:tcMar>
                  <w:top w:w="216" w:type="dxa"/>
                  <w:left w:w="115" w:type="dxa"/>
                  <w:bottom w:w="216" w:type="dxa"/>
                  <w:right w:w="115" w:type="dxa"/>
                </w:tcMar>
              </w:tcPr>
              <w:p w:rsidR="008601FE" w:rsidRPr="00C12127" w:rsidRDefault="008601FE">
                <w:pPr>
                  <w:pStyle w:val="NoSpacing"/>
                  <w:rPr>
                    <w:color w:val="4F81BD" w:themeColor="accent1"/>
                    <w:sz w:val="28"/>
                    <w:szCs w:val="28"/>
                  </w:rPr>
                </w:pPr>
              </w:p>
              <w:sdt>
                <w:sdtPr>
                  <w:rPr>
                    <w:color w:val="4F81BD" w:themeColor="accent1"/>
                    <w:sz w:val="28"/>
                    <w:szCs w:val="28"/>
                  </w:rPr>
                  <w:alias w:val="Date"/>
                  <w:id w:val="13406932"/>
                  <w:dataBinding w:prefixMappings="xmlns:ns0='http://schemas.microsoft.com/office/2006/coverPageProps'" w:xpath="/ns0:CoverPageProperties[1]/ns0:PublishDate[1]" w:storeItemID="{55AF091B-3C7A-41E3-B477-F2FDAA23CFDA}"/>
                  <w:date w:fullDate="2011-10-04T00:00:00Z">
                    <w:dateFormat w:val="M/d/yyyy"/>
                    <w:lid w:val="en-US"/>
                    <w:storeMappedDataAs w:val="dateTime"/>
                    <w:calendar w:val="gregorian"/>
                  </w:date>
                </w:sdtPr>
                <w:sdtContent>
                  <w:p w:rsidR="008601FE" w:rsidRPr="00C12127" w:rsidRDefault="008601FE">
                    <w:pPr>
                      <w:pStyle w:val="NoSpacing"/>
                      <w:rPr>
                        <w:color w:val="4F81BD" w:themeColor="accent1"/>
                        <w:sz w:val="28"/>
                        <w:szCs w:val="28"/>
                      </w:rPr>
                    </w:pPr>
                    <w:r w:rsidRPr="00C12127">
                      <w:rPr>
                        <w:color w:val="4F81BD" w:themeColor="accent1"/>
                        <w:sz w:val="28"/>
                        <w:szCs w:val="28"/>
                      </w:rPr>
                      <w:t>10/4/2011</w:t>
                    </w:r>
                  </w:p>
                </w:sdtContent>
              </w:sdt>
              <w:p w:rsidR="008601FE" w:rsidRPr="00C12127" w:rsidRDefault="008601FE">
                <w:pPr>
                  <w:pStyle w:val="NoSpacing"/>
                  <w:rPr>
                    <w:color w:val="4F81BD" w:themeColor="accent1"/>
                    <w:sz w:val="28"/>
                    <w:szCs w:val="28"/>
                  </w:rPr>
                </w:pPr>
              </w:p>
            </w:tc>
          </w:tr>
        </w:tbl>
        <w:p w:rsidR="008601FE" w:rsidRPr="00C12127" w:rsidRDefault="008601FE">
          <w:pPr>
            <w:rPr>
              <w:sz w:val="28"/>
              <w:szCs w:val="28"/>
            </w:rPr>
          </w:pPr>
        </w:p>
        <w:p w:rsidR="008601FE" w:rsidRDefault="008601FE">
          <w:r>
            <w:br w:type="page"/>
          </w:r>
        </w:p>
      </w:sdtContent>
    </w:sdt>
    <w:p w:rsidR="00DD192C" w:rsidRPr="00782713" w:rsidRDefault="00D422F8" w:rsidP="00D422F8">
      <w:pPr>
        <w:shd w:val="clear" w:color="auto" w:fill="FFFFFF"/>
        <w:jc w:val="center"/>
        <w:rPr>
          <w:b/>
          <w:bCs/>
          <w:sz w:val="28"/>
          <w:szCs w:val="28"/>
        </w:rPr>
      </w:pPr>
      <w:r>
        <w:rPr>
          <w:b/>
          <w:sz w:val="28"/>
          <w:szCs w:val="28"/>
        </w:rPr>
        <w:lastRenderedPageBreak/>
        <w:t xml:space="preserve">A </w:t>
      </w:r>
      <w:r w:rsidR="003C21CB">
        <w:rPr>
          <w:b/>
          <w:sz w:val="28"/>
          <w:szCs w:val="28"/>
        </w:rPr>
        <w:t>Resource</w:t>
      </w:r>
      <w:r w:rsidR="00AE002B" w:rsidRPr="00AE002B">
        <w:rPr>
          <w:b/>
          <w:sz w:val="28"/>
          <w:szCs w:val="28"/>
        </w:rPr>
        <w:t xml:space="preserve"> Adequacy Standard</w:t>
      </w:r>
      <w:r w:rsidR="008B3248">
        <w:rPr>
          <w:b/>
          <w:sz w:val="28"/>
          <w:szCs w:val="28"/>
        </w:rPr>
        <w:t xml:space="preserve"> for the Pacific Northwest</w:t>
      </w:r>
      <w:r w:rsidR="0091421B">
        <w:rPr>
          <w:b/>
          <w:sz w:val="28"/>
          <w:szCs w:val="28"/>
        </w:rPr>
        <w:br/>
      </w:r>
      <w:r w:rsidRPr="00782713">
        <w:rPr>
          <w:b/>
          <w:sz w:val="24"/>
          <w:szCs w:val="24"/>
        </w:rPr>
        <w:t>Pacific Northwest Resource Adequacy Forum</w:t>
      </w:r>
      <w:r w:rsidR="00782713" w:rsidRPr="00782713">
        <w:rPr>
          <w:b/>
          <w:sz w:val="24"/>
          <w:szCs w:val="24"/>
        </w:rPr>
        <w:br/>
      </w:r>
      <w:r w:rsidR="00DD192C" w:rsidRPr="00782713">
        <w:rPr>
          <w:b/>
          <w:sz w:val="24"/>
          <w:szCs w:val="24"/>
        </w:rPr>
        <w:t xml:space="preserve">Working Draft for Discussion – Version </w:t>
      </w:r>
      <w:r w:rsidR="00DC6C56">
        <w:rPr>
          <w:b/>
          <w:sz w:val="24"/>
          <w:szCs w:val="24"/>
        </w:rPr>
        <w:t>3</w:t>
      </w:r>
      <w:r w:rsidR="00DD192C" w:rsidRPr="00782713">
        <w:rPr>
          <w:b/>
          <w:bCs/>
          <w:sz w:val="28"/>
          <w:szCs w:val="28"/>
        </w:rPr>
        <w:t xml:space="preserve"> </w:t>
      </w:r>
    </w:p>
    <w:sdt>
      <w:sdtPr>
        <w:rPr>
          <w:smallCaps w:val="0"/>
          <w:spacing w:val="0"/>
          <w:sz w:val="22"/>
          <w:szCs w:val="22"/>
        </w:rPr>
        <w:id w:val="3661377"/>
        <w:docPartObj>
          <w:docPartGallery w:val="Table of Contents"/>
          <w:docPartUnique/>
        </w:docPartObj>
      </w:sdtPr>
      <w:sdtContent>
        <w:p w:rsidR="00782713" w:rsidRDefault="00782713">
          <w:pPr>
            <w:pStyle w:val="TOCHeading"/>
          </w:pPr>
          <w:r>
            <w:t>Contents</w:t>
          </w:r>
        </w:p>
        <w:p w:rsidR="00F3533D" w:rsidRDefault="003E7F67">
          <w:pPr>
            <w:pStyle w:val="TOC1"/>
            <w:rPr>
              <w:rFonts w:asciiTheme="minorHAnsi" w:eastAsiaTheme="minorEastAsia" w:hAnsiTheme="minorHAnsi" w:cstheme="minorBidi"/>
              <w:noProof/>
              <w:lang w:val="en-US" w:bidi="ar-SA"/>
            </w:rPr>
          </w:pPr>
          <w:r w:rsidRPr="003E7F67">
            <w:fldChar w:fldCharType="begin"/>
          </w:r>
          <w:r w:rsidR="00782713">
            <w:instrText xml:space="preserve"> TOC \o "1-3" \h \z \u </w:instrText>
          </w:r>
          <w:r w:rsidRPr="003E7F67">
            <w:fldChar w:fldCharType="separate"/>
          </w:r>
          <w:hyperlink w:anchor="_Toc304194262" w:history="1">
            <w:r w:rsidR="00F3533D" w:rsidRPr="00003398">
              <w:rPr>
                <w:rStyle w:val="Hyperlink"/>
                <w:noProof/>
              </w:rPr>
              <w:t>Abstract</w:t>
            </w:r>
            <w:r w:rsidR="00F3533D">
              <w:rPr>
                <w:noProof/>
                <w:webHidden/>
              </w:rPr>
              <w:tab/>
            </w:r>
            <w:r>
              <w:rPr>
                <w:noProof/>
                <w:webHidden/>
              </w:rPr>
              <w:fldChar w:fldCharType="begin"/>
            </w:r>
            <w:r w:rsidR="00F3533D">
              <w:rPr>
                <w:noProof/>
                <w:webHidden/>
              </w:rPr>
              <w:instrText xml:space="preserve"> PAGEREF _Toc304194262 \h </w:instrText>
            </w:r>
            <w:r>
              <w:rPr>
                <w:noProof/>
                <w:webHidden/>
              </w:rPr>
            </w:r>
            <w:r>
              <w:rPr>
                <w:noProof/>
                <w:webHidden/>
              </w:rPr>
              <w:fldChar w:fldCharType="separate"/>
            </w:r>
            <w:r w:rsidR="00F3533D">
              <w:rPr>
                <w:noProof/>
                <w:webHidden/>
              </w:rPr>
              <w:t>3</w:t>
            </w:r>
            <w:r>
              <w:rPr>
                <w:noProof/>
                <w:webHidden/>
              </w:rPr>
              <w:fldChar w:fldCharType="end"/>
            </w:r>
          </w:hyperlink>
        </w:p>
        <w:p w:rsidR="00F3533D" w:rsidRDefault="003E7F67">
          <w:pPr>
            <w:pStyle w:val="TOC1"/>
            <w:rPr>
              <w:rFonts w:asciiTheme="minorHAnsi" w:eastAsiaTheme="minorEastAsia" w:hAnsiTheme="minorHAnsi" w:cstheme="minorBidi"/>
              <w:noProof/>
              <w:lang w:val="en-US" w:bidi="ar-SA"/>
            </w:rPr>
          </w:pPr>
          <w:hyperlink w:anchor="_Toc304194263" w:history="1">
            <w:r w:rsidR="00F3533D" w:rsidRPr="00003398">
              <w:rPr>
                <w:rStyle w:val="Hyperlink"/>
                <w:noProof/>
              </w:rPr>
              <w:t>Summary</w:t>
            </w:r>
            <w:r w:rsidR="00F3533D">
              <w:rPr>
                <w:noProof/>
                <w:webHidden/>
              </w:rPr>
              <w:tab/>
            </w:r>
            <w:r>
              <w:rPr>
                <w:noProof/>
                <w:webHidden/>
              </w:rPr>
              <w:fldChar w:fldCharType="begin"/>
            </w:r>
            <w:r w:rsidR="00F3533D">
              <w:rPr>
                <w:noProof/>
                <w:webHidden/>
              </w:rPr>
              <w:instrText xml:space="preserve"> PAGEREF _Toc304194263 \h </w:instrText>
            </w:r>
            <w:r>
              <w:rPr>
                <w:noProof/>
                <w:webHidden/>
              </w:rPr>
            </w:r>
            <w:r>
              <w:rPr>
                <w:noProof/>
                <w:webHidden/>
              </w:rPr>
              <w:fldChar w:fldCharType="separate"/>
            </w:r>
            <w:r w:rsidR="00F3533D">
              <w:rPr>
                <w:noProof/>
                <w:webHidden/>
              </w:rPr>
              <w:t>3</w:t>
            </w:r>
            <w:r>
              <w:rPr>
                <w:noProof/>
                <w:webHidden/>
              </w:rPr>
              <w:fldChar w:fldCharType="end"/>
            </w:r>
          </w:hyperlink>
        </w:p>
        <w:p w:rsidR="00F3533D" w:rsidRDefault="003E7F67">
          <w:pPr>
            <w:pStyle w:val="TOC1"/>
            <w:rPr>
              <w:rFonts w:asciiTheme="minorHAnsi" w:eastAsiaTheme="minorEastAsia" w:hAnsiTheme="minorHAnsi" w:cstheme="minorBidi"/>
              <w:noProof/>
              <w:lang w:val="en-US" w:bidi="ar-SA"/>
            </w:rPr>
          </w:pPr>
          <w:hyperlink w:anchor="_Toc304194264" w:history="1">
            <w:r w:rsidR="00F3533D" w:rsidRPr="00003398">
              <w:rPr>
                <w:rStyle w:val="Hyperlink"/>
                <w:noProof/>
              </w:rPr>
              <w:t>Background</w:t>
            </w:r>
            <w:r w:rsidR="00F3533D">
              <w:rPr>
                <w:noProof/>
                <w:webHidden/>
              </w:rPr>
              <w:tab/>
            </w:r>
            <w:r>
              <w:rPr>
                <w:noProof/>
                <w:webHidden/>
              </w:rPr>
              <w:fldChar w:fldCharType="begin"/>
            </w:r>
            <w:r w:rsidR="00F3533D">
              <w:rPr>
                <w:noProof/>
                <w:webHidden/>
              </w:rPr>
              <w:instrText xml:space="preserve"> PAGEREF _Toc304194264 \h </w:instrText>
            </w:r>
            <w:r>
              <w:rPr>
                <w:noProof/>
                <w:webHidden/>
              </w:rPr>
            </w:r>
            <w:r>
              <w:rPr>
                <w:noProof/>
                <w:webHidden/>
              </w:rPr>
              <w:fldChar w:fldCharType="separate"/>
            </w:r>
            <w:r w:rsidR="00F3533D">
              <w:rPr>
                <w:noProof/>
                <w:webHidden/>
              </w:rPr>
              <w:t>4</w:t>
            </w:r>
            <w:r>
              <w:rPr>
                <w:noProof/>
                <w:webHidden/>
              </w:rPr>
              <w:fldChar w:fldCharType="end"/>
            </w:r>
          </w:hyperlink>
        </w:p>
        <w:p w:rsidR="00F3533D" w:rsidRDefault="003E7F67">
          <w:pPr>
            <w:pStyle w:val="TOC1"/>
            <w:rPr>
              <w:rFonts w:asciiTheme="minorHAnsi" w:eastAsiaTheme="minorEastAsia" w:hAnsiTheme="minorHAnsi" w:cstheme="minorBidi"/>
              <w:noProof/>
              <w:lang w:val="en-US" w:bidi="ar-SA"/>
            </w:rPr>
          </w:pPr>
          <w:hyperlink w:anchor="_Toc304194265" w:history="1">
            <w:r w:rsidR="00F3533D" w:rsidRPr="00003398">
              <w:rPr>
                <w:rStyle w:val="Hyperlink"/>
                <w:noProof/>
              </w:rPr>
              <w:t>Methodology</w:t>
            </w:r>
            <w:r w:rsidR="00F3533D">
              <w:rPr>
                <w:noProof/>
                <w:webHidden/>
              </w:rPr>
              <w:tab/>
            </w:r>
            <w:r>
              <w:rPr>
                <w:noProof/>
                <w:webHidden/>
              </w:rPr>
              <w:fldChar w:fldCharType="begin"/>
            </w:r>
            <w:r w:rsidR="00F3533D">
              <w:rPr>
                <w:noProof/>
                <w:webHidden/>
              </w:rPr>
              <w:instrText xml:space="preserve"> PAGEREF _Toc304194265 \h </w:instrText>
            </w:r>
            <w:r>
              <w:rPr>
                <w:noProof/>
                <w:webHidden/>
              </w:rPr>
            </w:r>
            <w:r>
              <w:rPr>
                <w:noProof/>
                <w:webHidden/>
              </w:rPr>
              <w:fldChar w:fldCharType="separate"/>
            </w:r>
            <w:r w:rsidR="00F3533D">
              <w:rPr>
                <w:noProof/>
                <w:webHidden/>
              </w:rPr>
              <w:t>5</w:t>
            </w:r>
            <w:r>
              <w:rPr>
                <w:noProof/>
                <w:webHidden/>
              </w:rPr>
              <w:fldChar w:fldCharType="end"/>
            </w:r>
          </w:hyperlink>
        </w:p>
        <w:p w:rsidR="00F3533D" w:rsidRDefault="003E7F67">
          <w:pPr>
            <w:pStyle w:val="TOC1"/>
            <w:rPr>
              <w:rFonts w:asciiTheme="minorHAnsi" w:eastAsiaTheme="minorEastAsia" w:hAnsiTheme="minorHAnsi" w:cstheme="minorBidi"/>
              <w:noProof/>
              <w:lang w:val="en-US" w:bidi="ar-SA"/>
            </w:rPr>
          </w:pPr>
          <w:hyperlink w:anchor="_Toc304194266" w:history="1">
            <w:r w:rsidR="00F3533D" w:rsidRPr="00003398">
              <w:rPr>
                <w:rStyle w:val="Hyperlink"/>
                <w:noProof/>
              </w:rPr>
              <w:t>The Current Standard</w:t>
            </w:r>
            <w:r w:rsidR="00F3533D">
              <w:rPr>
                <w:noProof/>
                <w:webHidden/>
              </w:rPr>
              <w:tab/>
            </w:r>
            <w:r>
              <w:rPr>
                <w:noProof/>
                <w:webHidden/>
              </w:rPr>
              <w:fldChar w:fldCharType="begin"/>
            </w:r>
            <w:r w:rsidR="00F3533D">
              <w:rPr>
                <w:noProof/>
                <w:webHidden/>
              </w:rPr>
              <w:instrText xml:space="preserve"> PAGEREF _Toc304194266 \h </w:instrText>
            </w:r>
            <w:r>
              <w:rPr>
                <w:noProof/>
                <w:webHidden/>
              </w:rPr>
            </w:r>
            <w:r>
              <w:rPr>
                <w:noProof/>
                <w:webHidden/>
              </w:rPr>
              <w:fldChar w:fldCharType="separate"/>
            </w:r>
            <w:r w:rsidR="00F3533D">
              <w:rPr>
                <w:noProof/>
                <w:webHidden/>
              </w:rPr>
              <w:t>6</w:t>
            </w:r>
            <w:r>
              <w:rPr>
                <w:noProof/>
                <w:webHidden/>
              </w:rPr>
              <w:fldChar w:fldCharType="end"/>
            </w:r>
          </w:hyperlink>
        </w:p>
        <w:p w:rsidR="00F3533D" w:rsidRDefault="003E7F67">
          <w:pPr>
            <w:pStyle w:val="TOC1"/>
            <w:rPr>
              <w:rFonts w:asciiTheme="minorHAnsi" w:eastAsiaTheme="minorEastAsia" w:hAnsiTheme="minorHAnsi" w:cstheme="minorBidi"/>
              <w:noProof/>
              <w:lang w:val="en-US" w:bidi="ar-SA"/>
            </w:rPr>
          </w:pPr>
          <w:hyperlink w:anchor="_Toc304194267" w:history="1">
            <w:r w:rsidR="00F3533D" w:rsidRPr="00003398">
              <w:rPr>
                <w:rStyle w:val="Hyperlink"/>
                <w:noProof/>
              </w:rPr>
              <w:t>The Proposed New Standard</w:t>
            </w:r>
            <w:r w:rsidR="00F3533D">
              <w:rPr>
                <w:noProof/>
                <w:webHidden/>
              </w:rPr>
              <w:tab/>
            </w:r>
            <w:r>
              <w:rPr>
                <w:noProof/>
                <w:webHidden/>
              </w:rPr>
              <w:fldChar w:fldCharType="begin"/>
            </w:r>
            <w:r w:rsidR="00F3533D">
              <w:rPr>
                <w:noProof/>
                <w:webHidden/>
              </w:rPr>
              <w:instrText xml:space="preserve"> PAGEREF _Toc304194267 \h </w:instrText>
            </w:r>
            <w:r>
              <w:rPr>
                <w:noProof/>
                <w:webHidden/>
              </w:rPr>
            </w:r>
            <w:r>
              <w:rPr>
                <w:noProof/>
                <w:webHidden/>
              </w:rPr>
              <w:fldChar w:fldCharType="separate"/>
            </w:r>
            <w:r w:rsidR="00F3533D">
              <w:rPr>
                <w:noProof/>
                <w:webHidden/>
              </w:rPr>
              <w:t>8</w:t>
            </w:r>
            <w:r>
              <w:rPr>
                <w:noProof/>
                <w:webHidden/>
              </w:rPr>
              <w:fldChar w:fldCharType="end"/>
            </w:r>
          </w:hyperlink>
        </w:p>
        <w:p w:rsidR="00F3533D" w:rsidRDefault="003E7F67">
          <w:pPr>
            <w:pStyle w:val="TOC1"/>
            <w:rPr>
              <w:rFonts w:asciiTheme="minorHAnsi" w:eastAsiaTheme="minorEastAsia" w:hAnsiTheme="minorHAnsi" w:cstheme="minorBidi"/>
              <w:noProof/>
              <w:lang w:val="en-US" w:bidi="ar-SA"/>
            </w:rPr>
          </w:pPr>
          <w:hyperlink w:anchor="_Toc304194268" w:history="1">
            <w:r w:rsidR="00F3533D" w:rsidRPr="00003398">
              <w:rPr>
                <w:rStyle w:val="Hyperlink"/>
                <w:noProof/>
              </w:rPr>
              <w:t>“State of the System” Report</w:t>
            </w:r>
            <w:r w:rsidR="00F3533D">
              <w:rPr>
                <w:noProof/>
                <w:webHidden/>
              </w:rPr>
              <w:tab/>
            </w:r>
            <w:r>
              <w:rPr>
                <w:noProof/>
                <w:webHidden/>
              </w:rPr>
              <w:fldChar w:fldCharType="begin"/>
            </w:r>
            <w:r w:rsidR="00F3533D">
              <w:rPr>
                <w:noProof/>
                <w:webHidden/>
              </w:rPr>
              <w:instrText xml:space="preserve"> PAGEREF _Toc304194268 \h </w:instrText>
            </w:r>
            <w:r>
              <w:rPr>
                <w:noProof/>
                <w:webHidden/>
              </w:rPr>
            </w:r>
            <w:r>
              <w:rPr>
                <w:noProof/>
                <w:webHidden/>
              </w:rPr>
              <w:fldChar w:fldCharType="separate"/>
            </w:r>
            <w:r w:rsidR="00F3533D">
              <w:rPr>
                <w:noProof/>
                <w:webHidden/>
              </w:rPr>
              <w:t>9</w:t>
            </w:r>
            <w:r>
              <w:rPr>
                <w:noProof/>
                <w:webHidden/>
              </w:rPr>
              <w:fldChar w:fldCharType="end"/>
            </w:r>
          </w:hyperlink>
        </w:p>
        <w:p w:rsidR="00F3533D" w:rsidRDefault="003E7F67">
          <w:pPr>
            <w:pStyle w:val="TOC2"/>
            <w:rPr>
              <w:rFonts w:asciiTheme="minorHAnsi" w:eastAsiaTheme="minorEastAsia" w:hAnsiTheme="minorHAnsi" w:cstheme="minorBidi"/>
              <w:noProof/>
              <w:lang w:val="en-US" w:bidi="ar-SA"/>
            </w:rPr>
          </w:pPr>
          <w:hyperlink w:anchor="_Toc304194269" w:history="1">
            <w:r w:rsidR="00F3533D" w:rsidRPr="00003398">
              <w:rPr>
                <w:rStyle w:val="Hyperlink"/>
                <w:noProof/>
              </w:rPr>
              <w:t>Conditional Value at Risk</w:t>
            </w:r>
            <w:r w:rsidR="00F3533D">
              <w:rPr>
                <w:noProof/>
                <w:webHidden/>
              </w:rPr>
              <w:tab/>
            </w:r>
            <w:r>
              <w:rPr>
                <w:noProof/>
                <w:webHidden/>
              </w:rPr>
              <w:fldChar w:fldCharType="begin"/>
            </w:r>
            <w:r w:rsidR="00F3533D">
              <w:rPr>
                <w:noProof/>
                <w:webHidden/>
              </w:rPr>
              <w:instrText xml:space="preserve"> PAGEREF _Toc304194269 \h </w:instrText>
            </w:r>
            <w:r>
              <w:rPr>
                <w:noProof/>
                <w:webHidden/>
              </w:rPr>
            </w:r>
            <w:r>
              <w:rPr>
                <w:noProof/>
                <w:webHidden/>
              </w:rPr>
              <w:fldChar w:fldCharType="separate"/>
            </w:r>
            <w:r w:rsidR="00F3533D">
              <w:rPr>
                <w:noProof/>
                <w:webHidden/>
              </w:rPr>
              <w:t>9</w:t>
            </w:r>
            <w:r>
              <w:rPr>
                <w:noProof/>
                <w:webHidden/>
              </w:rPr>
              <w:fldChar w:fldCharType="end"/>
            </w:r>
          </w:hyperlink>
        </w:p>
        <w:p w:rsidR="00F3533D" w:rsidRDefault="003E7F67">
          <w:pPr>
            <w:pStyle w:val="TOC2"/>
            <w:rPr>
              <w:rFonts w:asciiTheme="minorHAnsi" w:eastAsiaTheme="minorEastAsia" w:hAnsiTheme="minorHAnsi" w:cstheme="minorBidi"/>
              <w:noProof/>
              <w:lang w:val="en-US" w:bidi="ar-SA"/>
            </w:rPr>
          </w:pPr>
          <w:hyperlink w:anchor="_Toc304194270" w:history="1">
            <w:r w:rsidR="00F3533D" w:rsidRPr="00003398">
              <w:rPr>
                <w:rStyle w:val="Hyperlink"/>
                <w:noProof/>
              </w:rPr>
              <w:t>Loss of Load Expectation</w:t>
            </w:r>
            <w:r w:rsidR="00F3533D">
              <w:rPr>
                <w:noProof/>
                <w:webHidden/>
              </w:rPr>
              <w:tab/>
            </w:r>
            <w:r>
              <w:rPr>
                <w:noProof/>
                <w:webHidden/>
              </w:rPr>
              <w:fldChar w:fldCharType="begin"/>
            </w:r>
            <w:r w:rsidR="00F3533D">
              <w:rPr>
                <w:noProof/>
                <w:webHidden/>
              </w:rPr>
              <w:instrText xml:space="preserve"> PAGEREF _Toc304194270 \h </w:instrText>
            </w:r>
            <w:r>
              <w:rPr>
                <w:noProof/>
                <w:webHidden/>
              </w:rPr>
            </w:r>
            <w:r>
              <w:rPr>
                <w:noProof/>
                <w:webHidden/>
              </w:rPr>
              <w:fldChar w:fldCharType="separate"/>
            </w:r>
            <w:r w:rsidR="00F3533D">
              <w:rPr>
                <w:noProof/>
                <w:webHidden/>
              </w:rPr>
              <w:t>9</w:t>
            </w:r>
            <w:r>
              <w:rPr>
                <w:noProof/>
                <w:webHidden/>
              </w:rPr>
              <w:fldChar w:fldCharType="end"/>
            </w:r>
          </w:hyperlink>
        </w:p>
        <w:p w:rsidR="00F3533D" w:rsidRDefault="003E7F67">
          <w:pPr>
            <w:pStyle w:val="TOC2"/>
            <w:rPr>
              <w:rFonts w:asciiTheme="minorHAnsi" w:eastAsiaTheme="minorEastAsia" w:hAnsiTheme="minorHAnsi" w:cstheme="minorBidi"/>
              <w:noProof/>
              <w:lang w:val="en-US" w:bidi="ar-SA"/>
            </w:rPr>
          </w:pPr>
          <w:hyperlink w:anchor="_Toc304194271" w:history="1">
            <w:r w:rsidR="00F3533D" w:rsidRPr="00003398">
              <w:rPr>
                <w:rStyle w:val="Hyperlink"/>
                <w:noProof/>
              </w:rPr>
              <w:t>Expected Unserved Energy</w:t>
            </w:r>
            <w:r w:rsidR="00F3533D">
              <w:rPr>
                <w:noProof/>
                <w:webHidden/>
              </w:rPr>
              <w:tab/>
            </w:r>
            <w:r>
              <w:rPr>
                <w:noProof/>
                <w:webHidden/>
              </w:rPr>
              <w:fldChar w:fldCharType="begin"/>
            </w:r>
            <w:r w:rsidR="00F3533D">
              <w:rPr>
                <w:noProof/>
                <w:webHidden/>
              </w:rPr>
              <w:instrText xml:space="preserve"> PAGEREF _Toc304194271 \h </w:instrText>
            </w:r>
            <w:r>
              <w:rPr>
                <w:noProof/>
                <w:webHidden/>
              </w:rPr>
            </w:r>
            <w:r>
              <w:rPr>
                <w:noProof/>
                <w:webHidden/>
              </w:rPr>
              <w:fldChar w:fldCharType="separate"/>
            </w:r>
            <w:r w:rsidR="00F3533D">
              <w:rPr>
                <w:noProof/>
                <w:webHidden/>
              </w:rPr>
              <w:t>10</w:t>
            </w:r>
            <w:r>
              <w:rPr>
                <w:noProof/>
                <w:webHidden/>
              </w:rPr>
              <w:fldChar w:fldCharType="end"/>
            </w:r>
          </w:hyperlink>
        </w:p>
        <w:p w:rsidR="00F3533D" w:rsidRDefault="003E7F67">
          <w:pPr>
            <w:pStyle w:val="TOC2"/>
            <w:rPr>
              <w:rFonts w:asciiTheme="minorHAnsi" w:eastAsiaTheme="minorEastAsia" w:hAnsiTheme="minorHAnsi" w:cstheme="minorBidi"/>
              <w:noProof/>
              <w:lang w:val="en-US" w:bidi="ar-SA"/>
            </w:rPr>
          </w:pPr>
          <w:hyperlink w:anchor="_Toc304194272" w:history="1">
            <w:r w:rsidR="00F3533D" w:rsidRPr="00003398">
              <w:rPr>
                <w:rStyle w:val="Hyperlink"/>
                <w:noProof/>
              </w:rPr>
              <w:t>Expected Use of Standby Resources</w:t>
            </w:r>
            <w:r w:rsidR="00F3533D">
              <w:rPr>
                <w:noProof/>
                <w:webHidden/>
              </w:rPr>
              <w:tab/>
            </w:r>
            <w:r>
              <w:rPr>
                <w:noProof/>
                <w:webHidden/>
              </w:rPr>
              <w:fldChar w:fldCharType="begin"/>
            </w:r>
            <w:r w:rsidR="00F3533D">
              <w:rPr>
                <w:noProof/>
                <w:webHidden/>
              </w:rPr>
              <w:instrText xml:space="preserve"> PAGEREF _Toc304194272 \h </w:instrText>
            </w:r>
            <w:r>
              <w:rPr>
                <w:noProof/>
                <w:webHidden/>
              </w:rPr>
            </w:r>
            <w:r>
              <w:rPr>
                <w:noProof/>
                <w:webHidden/>
              </w:rPr>
              <w:fldChar w:fldCharType="separate"/>
            </w:r>
            <w:r w:rsidR="00F3533D">
              <w:rPr>
                <w:noProof/>
                <w:webHidden/>
              </w:rPr>
              <w:t>10</w:t>
            </w:r>
            <w:r>
              <w:rPr>
                <w:noProof/>
                <w:webHidden/>
              </w:rPr>
              <w:fldChar w:fldCharType="end"/>
            </w:r>
          </w:hyperlink>
        </w:p>
        <w:p w:rsidR="00F3533D" w:rsidRDefault="003E7F67">
          <w:pPr>
            <w:pStyle w:val="TOC2"/>
            <w:rPr>
              <w:rFonts w:asciiTheme="minorHAnsi" w:eastAsiaTheme="minorEastAsia" w:hAnsiTheme="minorHAnsi" w:cstheme="minorBidi"/>
              <w:noProof/>
              <w:lang w:val="en-US" w:bidi="ar-SA"/>
            </w:rPr>
          </w:pPr>
          <w:hyperlink w:anchor="_Toc304194273" w:history="1">
            <w:r w:rsidR="00F3533D" w:rsidRPr="00003398">
              <w:rPr>
                <w:rStyle w:val="Hyperlink"/>
                <w:noProof/>
              </w:rPr>
              <w:t>Expected Use of Non-firm Resources</w:t>
            </w:r>
            <w:r w:rsidR="00F3533D">
              <w:rPr>
                <w:noProof/>
                <w:webHidden/>
              </w:rPr>
              <w:tab/>
            </w:r>
            <w:r>
              <w:rPr>
                <w:noProof/>
                <w:webHidden/>
              </w:rPr>
              <w:fldChar w:fldCharType="begin"/>
            </w:r>
            <w:r w:rsidR="00F3533D">
              <w:rPr>
                <w:noProof/>
                <w:webHidden/>
              </w:rPr>
              <w:instrText xml:space="preserve"> PAGEREF _Toc304194273 \h </w:instrText>
            </w:r>
            <w:r>
              <w:rPr>
                <w:noProof/>
                <w:webHidden/>
              </w:rPr>
            </w:r>
            <w:r>
              <w:rPr>
                <w:noProof/>
                <w:webHidden/>
              </w:rPr>
              <w:fldChar w:fldCharType="separate"/>
            </w:r>
            <w:r w:rsidR="00F3533D">
              <w:rPr>
                <w:noProof/>
                <w:webHidden/>
              </w:rPr>
              <w:t>11</w:t>
            </w:r>
            <w:r>
              <w:rPr>
                <w:noProof/>
                <w:webHidden/>
              </w:rPr>
              <w:fldChar w:fldCharType="end"/>
            </w:r>
          </w:hyperlink>
        </w:p>
        <w:p w:rsidR="00F3533D" w:rsidRDefault="003E7F67">
          <w:pPr>
            <w:pStyle w:val="TOC2"/>
            <w:rPr>
              <w:rFonts w:asciiTheme="minorHAnsi" w:eastAsiaTheme="minorEastAsia" w:hAnsiTheme="minorHAnsi" w:cstheme="minorBidi"/>
              <w:noProof/>
              <w:lang w:val="en-US" w:bidi="ar-SA"/>
            </w:rPr>
          </w:pPr>
          <w:hyperlink w:anchor="_Toc304194274" w:history="1">
            <w:r w:rsidR="00F3533D" w:rsidRPr="00003398">
              <w:rPr>
                <w:rStyle w:val="Hyperlink"/>
                <w:noProof/>
              </w:rPr>
              <w:t>Curtailment Statistics</w:t>
            </w:r>
            <w:r w:rsidR="00F3533D">
              <w:rPr>
                <w:noProof/>
                <w:webHidden/>
              </w:rPr>
              <w:tab/>
            </w:r>
            <w:r>
              <w:rPr>
                <w:noProof/>
                <w:webHidden/>
              </w:rPr>
              <w:fldChar w:fldCharType="begin"/>
            </w:r>
            <w:r w:rsidR="00F3533D">
              <w:rPr>
                <w:noProof/>
                <w:webHidden/>
              </w:rPr>
              <w:instrText xml:space="preserve"> PAGEREF _Toc304194274 \h </w:instrText>
            </w:r>
            <w:r>
              <w:rPr>
                <w:noProof/>
                <w:webHidden/>
              </w:rPr>
            </w:r>
            <w:r>
              <w:rPr>
                <w:noProof/>
                <w:webHidden/>
              </w:rPr>
              <w:fldChar w:fldCharType="separate"/>
            </w:r>
            <w:r w:rsidR="00F3533D">
              <w:rPr>
                <w:noProof/>
                <w:webHidden/>
              </w:rPr>
              <w:t>11</w:t>
            </w:r>
            <w:r>
              <w:rPr>
                <w:noProof/>
                <w:webHidden/>
              </w:rPr>
              <w:fldChar w:fldCharType="end"/>
            </w:r>
          </w:hyperlink>
        </w:p>
        <w:p w:rsidR="00F3533D" w:rsidRDefault="003E7F67">
          <w:pPr>
            <w:pStyle w:val="TOC2"/>
            <w:rPr>
              <w:rFonts w:asciiTheme="minorHAnsi" w:eastAsiaTheme="minorEastAsia" w:hAnsiTheme="minorHAnsi" w:cstheme="minorBidi"/>
              <w:noProof/>
              <w:lang w:val="en-US" w:bidi="ar-SA"/>
            </w:rPr>
          </w:pPr>
          <w:hyperlink w:anchor="_Toc304194275" w:history="1">
            <w:r w:rsidR="00F3533D" w:rsidRPr="00003398">
              <w:rPr>
                <w:rStyle w:val="Hyperlink"/>
                <w:noProof/>
              </w:rPr>
              <w:t>Monthly Statistics</w:t>
            </w:r>
            <w:r w:rsidR="00F3533D">
              <w:rPr>
                <w:noProof/>
                <w:webHidden/>
              </w:rPr>
              <w:tab/>
            </w:r>
            <w:r>
              <w:rPr>
                <w:noProof/>
                <w:webHidden/>
              </w:rPr>
              <w:fldChar w:fldCharType="begin"/>
            </w:r>
            <w:r w:rsidR="00F3533D">
              <w:rPr>
                <w:noProof/>
                <w:webHidden/>
              </w:rPr>
              <w:instrText xml:space="preserve"> PAGEREF _Toc304194275 \h </w:instrText>
            </w:r>
            <w:r>
              <w:rPr>
                <w:noProof/>
                <w:webHidden/>
              </w:rPr>
            </w:r>
            <w:r>
              <w:rPr>
                <w:noProof/>
                <w:webHidden/>
              </w:rPr>
              <w:fldChar w:fldCharType="separate"/>
            </w:r>
            <w:r w:rsidR="00F3533D">
              <w:rPr>
                <w:noProof/>
                <w:webHidden/>
              </w:rPr>
              <w:t>11</w:t>
            </w:r>
            <w:r>
              <w:rPr>
                <w:noProof/>
                <w:webHidden/>
              </w:rPr>
              <w:fldChar w:fldCharType="end"/>
            </w:r>
          </w:hyperlink>
        </w:p>
        <w:p w:rsidR="00F3533D" w:rsidRDefault="003E7F67">
          <w:pPr>
            <w:pStyle w:val="TOC1"/>
            <w:rPr>
              <w:rFonts w:asciiTheme="minorHAnsi" w:eastAsiaTheme="minorEastAsia" w:hAnsiTheme="minorHAnsi" w:cstheme="minorBidi"/>
              <w:noProof/>
              <w:lang w:val="en-US" w:bidi="ar-SA"/>
            </w:rPr>
          </w:pPr>
          <w:hyperlink w:anchor="_Toc304194276" w:history="1">
            <w:r w:rsidR="00F3533D" w:rsidRPr="00003398">
              <w:rPr>
                <w:rStyle w:val="Hyperlink"/>
                <w:noProof/>
              </w:rPr>
              <w:t>Appendix A – Current Assumptions</w:t>
            </w:r>
            <w:r w:rsidR="00F3533D">
              <w:rPr>
                <w:noProof/>
                <w:webHidden/>
              </w:rPr>
              <w:tab/>
            </w:r>
            <w:r>
              <w:rPr>
                <w:noProof/>
                <w:webHidden/>
              </w:rPr>
              <w:fldChar w:fldCharType="begin"/>
            </w:r>
            <w:r w:rsidR="00F3533D">
              <w:rPr>
                <w:noProof/>
                <w:webHidden/>
              </w:rPr>
              <w:instrText xml:space="preserve"> PAGEREF _Toc304194276 \h </w:instrText>
            </w:r>
            <w:r>
              <w:rPr>
                <w:noProof/>
                <w:webHidden/>
              </w:rPr>
            </w:r>
            <w:r>
              <w:rPr>
                <w:noProof/>
                <w:webHidden/>
              </w:rPr>
              <w:fldChar w:fldCharType="separate"/>
            </w:r>
            <w:r w:rsidR="00F3533D">
              <w:rPr>
                <w:noProof/>
                <w:webHidden/>
              </w:rPr>
              <w:t>13</w:t>
            </w:r>
            <w:r>
              <w:rPr>
                <w:noProof/>
                <w:webHidden/>
              </w:rPr>
              <w:fldChar w:fldCharType="end"/>
            </w:r>
          </w:hyperlink>
        </w:p>
        <w:p w:rsidR="00F3533D" w:rsidRDefault="003E7F67">
          <w:pPr>
            <w:pStyle w:val="TOC1"/>
            <w:rPr>
              <w:rFonts w:asciiTheme="minorHAnsi" w:eastAsiaTheme="minorEastAsia" w:hAnsiTheme="minorHAnsi" w:cstheme="minorBidi"/>
              <w:noProof/>
              <w:lang w:val="en-US" w:bidi="ar-SA"/>
            </w:rPr>
          </w:pPr>
          <w:hyperlink w:anchor="_Toc304194277" w:history="1">
            <w:r w:rsidR="00F3533D" w:rsidRPr="00003398">
              <w:rPr>
                <w:rStyle w:val="Hyperlink"/>
                <w:noProof/>
              </w:rPr>
              <w:t>Appendix B – Peer Review Report</w:t>
            </w:r>
            <w:r w:rsidR="00F3533D">
              <w:rPr>
                <w:noProof/>
                <w:webHidden/>
              </w:rPr>
              <w:tab/>
            </w:r>
            <w:r>
              <w:rPr>
                <w:noProof/>
                <w:webHidden/>
              </w:rPr>
              <w:fldChar w:fldCharType="begin"/>
            </w:r>
            <w:r w:rsidR="00F3533D">
              <w:rPr>
                <w:noProof/>
                <w:webHidden/>
              </w:rPr>
              <w:instrText xml:space="preserve"> PAGEREF _Toc304194277 \h </w:instrText>
            </w:r>
            <w:r>
              <w:rPr>
                <w:noProof/>
                <w:webHidden/>
              </w:rPr>
            </w:r>
            <w:r>
              <w:rPr>
                <w:noProof/>
                <w:webHidden/>
              </w:rPr>
              <w:fldChar w:fldCharType="separate"/>
            </w:r>
            <w:r w:rsidR="00F3533D">
              <w:rPr>
                <w:noProof/>
                <w:webHidden/>
              </w:rPr>
              <w:t>15</w:t>
            </w:r>
            <w:r>
              <w:rPr>
                <w:noProof/>
                <w:webHidden/>
              </w:rPr>
              <w:fldChar w:fldCharType="end"/>
            </w:r>
          </w:hyperlink>
        </w:p>
        <w:p w:rsidR="00782713" w:rsidRDefault="003E7F67">
          <w:r>
            <w:fldChar w:fldCharType="end"/>
          </w:r>
        </w:p>
      </w:sdtContent>
    </w:sdt>
    <w:p w:rsidR="00782713" w:rsidRDefault="00782713" w:rsidP="00782713"/>
    <w:p w:rsidR="00782713" w:rsidRDefault="00782713">
      <w:pPr>
        <w:rPr>
          <w:b/>
          <w:bCs/>
          <w:sz w:val="28"/>
          <w:szCs w:val="28"/>
        </w:rPr>
      </w:pPr>
      <w:r>
        <w:br w:type="page"/>
      </w:r>
    </w:p>
    <w:p w:rsidR="00F3533D" w:rsidRDefault="00F3533D" w:rsidP="0091421B">
      <w:pPr>
        <w:pStyle w:val="Heading1"/>
      </w:pPr>
      <w:bookmarkStart w:id="0" w:name="_Toc304194262"/>
      <w:r>
        <w:lastRenderedPageBreak/>
        <w:t>Abstract</w:t>
      </w:r>
      <w:bookmarkEnd w:id="0"/>
    </w:p>
    <w:p w:rsidR="00EB7EA1" w:rsidRDefault="00F3533D">
      <w:r>
        <w:t>This paper describes a proposed revision to the Council’s Resource Adequacy Standard.  Th</w:t>
      </w:r>
      <w:r w:rsidR="00D64F9A">
        <w:t>e</w:t>
      </w:r>
      <w:r>
        <w:t xml:space="preserve"> standard is used as an early warning system</w:t>
      </w:r>
      <w:r w:rsidR="007D4B97">
        <w:t xml:space="preserve"> to indicate when resource development does not adequately keep up with demand growth. </w:t>
      </w:r>
      <w:r>
        <w:t xml:space="preserve"> Like the current standard, the revised standard </w:t>
      </w:r>
      <w:r w:rsidR="007D4B97">
        <w:t xml:space="preserve">uses </w:t>
      </w:r>
      <w:r w:rsidR="00D64F9A">
        <w:t>the system’s</w:t>
      </w:r>
      <w:r>
        <w:t xml:space="preserve"> loss of load probability (LOLP)</w:t>
      </w:r>
      <w:r w:rsidR="007D4B97">
        <w:t xml:space="preserve"> as the adequacy metric and keeps </w:t>
      </w:r>
      <w:r w:rsidR="00EB7EA1">
        <w:t>the maximum allowable LOLP at 5 percent</w:t>
      </w:r>
      <w:r>
        <w:t xml:space="preserve">.  However, instead of </w:t>
      </w:r>
      <w:r w:rsidR="00332691">
        <w:t>calculating</w:t>
      </w:r>
      <w:r>
        <w:t xml:space="preserve"> separate LOLP values for winter and summer, a single annual value will be assessed</w:t>
      </w:r>
      <w:r w:rsidR="00332691">
        <w:t xml:space="preserve">.  This </w:t>
      </w:r>
      <w:r w:rsidR="007D4B97">
        <w:t xml:space="preserve">bypasses </w:t>
      </w:r>
      <w:r w:rsidR="00332691">
        <w:t xml:space="preserve">potential problems with assessing seasonal values.  In addition, assumptions regarding the use of standby resources have been refined.  Those resources are now limited </w:t>
      </w:r>
      <w:r w:rsidR="00E83E1D">
        <w:t xml:space="preserve">only </w:t>
      </w:r>
      <w:r w:rsidR="00332691">
        <w:t xml:space="preserve">to </w:t>
      </w:r>
      <w:r w:rsidR="00EB7EA1">
        <w:t xml:space="preserve">non-modeled </w:t>
      </w:r>
      <w:r w:rsidR="00332691">
        <w:t xml:space="preserve">resources </w:t>
      </w:r>
      <w:r w:rsidR="00EB7EA1">
        <w:t xml:space="preserve">and </w:t>
      </w:r>
      <w:r w:rsidR="00332691">
        <w:t xml:space="preserve">load management operations that are contractually available to regional utilities.  </w:t>
      </w:r>
      <w:r w:rsidR="005F033D">
        <w:t>Regarding the use of non-firm resources, t</w:t>
      </w:r>
      <w:r w:rsidR="00EB7EA1">
        <w:t xml:space="preserve">he </w:t>
      </w:r>
      <w:r w:rsidR="00E83E1D">
        <w:t xml:space="preserve">new standard maintains the </w:t>
      </w:r>
      <w:r w:rsidR="005F033D">
        <w:t xml:space="preserve">current </w:t>
      </w:r>
      <w:r w:rsidR="00E83E1D">
        <w:t xml:space="preserve">philosophy that </w:t>
      </w:r>
      <w:r w:rsidR="001A4319">
        <w:t>they</w:t>
      </w:r>
      <w:r w:rsidR="00EB7EA1">
        <w:t xml:space="preserve"> </w:t>
      </w:r>
      <w:r w:rsidR="00E83E1D">
        <w:t>should be included in adequacy assessments.  The amount of non-firm resource</w:t>
      </w:r>
      <w:r w:rsidR="001A4319">
        <w:t>s to be used in the assessment is</w:t>
      </w:r>
      <w:r w:rsidR="00E83E1D">
        <w:t xml:space="preserve">, of course, open for discussion and will undoubtedly need to be reviewed periodically.  </w:t>
      </w:r>
      <w:r w:rsidR="008B1AE1">
        <w:t xml:space="preserve"> </w:t>
      </w:r>
    </w:p>
    <w:p w:rsidR="0097215B" w:rsidRDefault="00332691">
      <w:r>
        <w:t>In addition to assessing the LOLP, a state-of-the-system report will be produced, which will include information about the frequency, duration</w:t>
      </w:r>
      <w:r w:rsidR="0055723C">
        <w:t>,</w:t>
      </w:r>
      <w:r>
        <w:t xml:space="preserve"> size </w:t>
      </w:r>
      <w:r w:rsidR="0055723C">
        <w:t xml:space="preserve">and timing </w:t>
      </w:r>
      <w:r>
        <w:t>of potential shortfalls</w:t>
      </w:r>
      <w:r w:rsidR="00E83E1D">
        <w:t xml:space="preserve">.  It could also </w:t>
      </w:r>
      <w:r w:rsidR="007A433D">
        <w:t xml:space="preserve">highlight conditions under which major shortfalls occur.  </w:t>
      </w:r>
      <w:r w:rsidR="00E83E1D">
        <w:t>It</w:t>
      </w:r>
      <w:r>
        <w:t xml:space="preserve"> will </w:t>
      </w:r>
      <w:r w:rsidR="00E83E1D">
        <w:t>also provide</w:t>
      </w:r>
      <w:r>
        <w:t xml:space="preserve"> statistics on the use of non-firm resources.  </w:t>
      </w:r>
      <w:r w:rsidR="00E83E1D">
        <w:t xml:space="preserve">Thus, the new standard is </w:t>
      </w:r>
      <w:r w:rsidR="007A433D">
        <w:t xml:space="preserve">designed to be </w:t>
      </w:r>
      <w:r w:rsidR="00E83E1D">
        <w:t xml:space="preserve">simpler and </w:t>
      </w:r>
      <w:r w:rsidR="001A4319">
        <w:t>more informative than</w:t>
      </w:r>
      <w:r w:rsidR="007A433D">
        <w:t xml:space="preserve"> the </w:t>
      </w:r>
      <w:r w:rsidR="00E83E1D">
        <w:t>current standard</w:t>
      </w:r>
      <w:r w:rsidR="001A4319">
        <w:t xml:space="preserve"> and should prove to be much more useful to regional planners, commissioners, policy makers and other involved parties.</w:t>
      </w:r>
      <w:r w:rsidR="00E83E1D">
        <w:t xml:space="preserve">  </w:t>
      </w:r>
    </w:p>
    <w:p w:rsidR="0005716C" w:rsidRDefault="001E28E8" w:rsidP="0005716C">
      <w:r>
        <w:t>S</w:t>
      </w:r>
      <w:r w:rsidR="008B1AE1">
        <w:t>pecifically, t</w:t>
      </w:r>
      <w:r w:rsidR="0005716C">
        <w:t>he Steering Committee will consider the following policy decisions, which</w:t>
      </w:r>
      <w:r w:rsidR="00F748FE">
        <w:t xml:space="preserve"> when approved,</w:t>
      </w:r>
      <w:r w:rsidR="0005716C">
        <w:t xml:space="preserve"> will be forwarded to the Northwest Power and Conservation Council </w:t>
      </w:r>
      <w:r w:rsidR="00F748FE">
        <w:t>as the Forum’s recommendations</w:t>
      </w:r>
      <w:r w:rsidR="0005716C">
        <w:t>.</w:t>
      </w:r>
    </w:p>
    <w:p w:rsidR="008E63E0" w:rsidRDefault="0005716C">
      <w:pPr>
        <w:pStyle w:val="ListParagraph"/>
        <w:numPr>
          <w:ilvl w:val="0"/>
          <w:numId w:val="51"/>
        </w:numPr>
      </w:pPr>
      <w:r>
        <w:t xml:space="preserve">Keep the </w:t>
      </w:r>
      <w:r w:rsidR="001E28E8">
        <w:t xml:space="preserve">current </w:t>
      </w:r>
      <w:r>
        <w:t>probabilistic methodology</w:t>
      </w:r>
      <w:r w:rsidR="001E28E8">
        <w:t xml:space="preserve">, which includes the use of non-firm resources, </w:t>
      </w:r>
      <w:r>
        <w:t>to assess power supply adequacy</w:t>
      </w:r>
      <w:r w:rsidR="00F748FE">
        <w:t>.</w:t>
      </w:r>
    </w:p>
    <w:p w:rsidR="008E63E0" w:rsidRDefault="00B00709">
      <w:pPr>
        <w:pStyle w:val="ListParagraph"/>
        <w:numPr>
          <w:ilvl w:val="0"/>
          <w:numId w:val="51"/>
        </w:numPr>
      </w:pPr>
      <w:r>
        <w:t>Keep the LOLP as the adequacy metric and keep 5% as its maximum threshold</w:t>
      </w:r>
      <w:r w:rsidR="00F748FE">
        <w:t>.</w:t>
      </w:r>
    </w:p>
    <w:p w:rsidR="000B4B1F" w:rsidRDefault="001E28E8" w:rsidP="00FC380C">
      <w:pPr>
        <w:pStyle w:val="ListParagraph"/>
        <w:numPr>
          <w:ilvl w:val="0"/>
          <w:numId w:val="51"/>
        </w:numPr>
      </w:pPr>
      <w:r>
        <w:t xml:space="preserve">Remove the seasonal LOLP assessments and instead </w:t>
      </w:r>
      <w:r w:rsidR="00A16D16">
        <w:t>calculate</w:t>
      </w:r>
      <w:r w:rsidR="00FC380C">
        <w:t xml:space="preserve"> </w:t>
      </w:r>
      <w:r>
        <w:t xml:space="preserve">only one </w:t>
      </w:r>
      <w:r w:rsidR="00FC380C">
        <w:t xml:space="preserve">LOLP </w:t>
      </w:r>
      <w:r w:rsidR="000B4B1F">
        <w:t>value for the entire year.</w:t>
      </w:r>
    </w:p>
    <w:p w:rsidR="00FC380C" w:rsidRDefault="000B4B1F" w:rsidP="00FC380C">
      <w:pPr>
        <w:pStyle w:val="ListParagraph"/>
        <w:numPr>
          <w:ilvl w:val="0"/>
          <w:numId w:val="51"/>
        </w:numPr>
      </w:pPr>
      <w:r>
        <w:t xml:space="preserve">Change the assumptions regarding the thresholds used to screen shortfalls.  The new thresholds should only count </w:t>
      </w:r>
      <w:r w:rsidR="0064510E">
        <w:t xml:space="preserve">those </w:t>
      </w:r>
      <w:r w:rsidR="00FC380C">
        <w:t>non-modeled resources and load management actions that are contractually available.</w:t>
      </w:r>
    </w:p>
    <w:p w:rsidR="008E63E0" w:rsidRDefault="003475AB">
      <w:pPr>
        <w:pStyle w:val="ListParagraph"/>
        <w:numPr>
          <w:ilvl w:val="0"/>
          <w:numId w:val="51"/>
        </w:numPr>
      </w:pPr>
      <w:r>
        <w:t>Remove the translation of the LOLP measure into deterministic values such as load/resource balance</w:t>
      </w:r>
      <w:r w:rsidR="00FC380C">
        <w:t xml:space="preserve"> and winter </w:t>
      </w:r>
      <w:r>
        <w:t xml:space="preserve">and </w:t>
      </w:r>
      <w:r w:rsidR="00FC380C">
        <w:t xml:space="preserve">summer </w:t>
      </w:r>
      <w:r>
        <w:t>sustained</w:t>
      </w:r>
      <w:r w:rsidR="0064510E">
        <w:t>-</w:t>
      </w:r>
      <w:r>
        <w:t>peak planning margins.</w:t>
      </w:r>
    </w:p>
    <w:p w:rsidR="008E63E0" w:rsidRDefault="008E63E0">
      <w:pPr>
        <w:pStyle w:val="ListParagraph"/>
        <w:numPr>
          <w:ilvl w:val="0"/>
          <w:numId w:val="51"/>
        </w:numPr>
      </w:pPr>
      <w:bookmarkStart w:id="1" w:name="OLE_LINK1"/>
      <w:bookmarkStart w:id="2" w:name="OLE_LINK2"/>
      <w:r>
        <w:t>Include a state of the system report will all future assessments.</w:t>
      </w:r>
    </w:p>
    <w:p w:rsidR="00807188" w:rsidRDefault="00807188" w:rsidP="0091421B">
      <w:pPr>
        <w:pStyle w:val="Heading1"/>
      </w:pPr>
      <w:bookmarkStart w:id="3" w:name="_Toc304194263"/>
      <w:bookmarkEnd w:id="1"/>
      <w:bookmarkEnd w:id="2"/>
      <w:r>
        <w:t>Summary</w:t>
      </w:r>
      <w:bookmarkEnd w:id="3"/>
    </w:p>
    <w:p w:rsidR="00807188" w:rsidRDefault="008F656D" w:rsidP="00D422F8">
      <w:r>
        <w:lastRenderedPageBreak/>
        <w:t>In 2008, the Northwest Power and Conservation Council adopted the Resource Adequacy Forum’s proposal</w:t>
      </w:r>
      <w:r w:rsidR="00BF32FF">
        <w:t>, which</w:t>
      </w:r>
      <w:r w:rsidR="00A758C2">
        <w:t xml:space="preserve"> set</w:t>
      </w:r>
      <w:r>
        <w:t xml:space="preserve"> a standard for power supply adequacy in the Pacific Northwest.  Since then the region has used that standard to assess the ability of the power supply to </w:t>
      </w:r>
      <w:r w:rsidR="00A758C2">
        <w:t xml:space="preserve">adequately </w:t>
      </w:r>
      <w:r>
        <w:t xml:space="preserve">serve Northwest customers.  In the past three years, assessments have shown the regional supply to be adequate but </w:t>
      </w:r>
      <w:r w:rsidR="00A758C2">
        <w:t xml:space="preserve">also </w:t>
      </w:r>
      <w:r>
        <w:t xml:space="preserve">that the </w:t>
      </w:r>
      <w:r w:rsidR="00835E75">
        <w:t>surplus of</w:t>
      </w:r>
      <w:r>
        <w:t xml:space="preserve"> resource capability </w:t>
      </w:r>
      <w:r w:rsidR="00835E75">
        <w:t xml:space="preserve">over </w:t>
      </w:r>
      <w:r>
        <w:t>demand in summer months was growing smaller.</w:t>
      </w:r>
    </w:p>
    <w:p w:rsidR="0082707A" w:rsidRDefault="008F656D" w:rsidP="00D422F8">
      <w:r>
        <w:t xml:space="preserve">While the current standard has been very useful to planners, it </w:t>
      </w:r>
      <w:r w:rsidR="00BF32FF">
        <w:t xml:space="preserve">is </w:t>
      </w:r>
      <w:r>
        <w:t xml:space="preserve">somewhat cumbersome to calculate and it invariably </w:t>
      </w:r>
      <w:r w:rsidR="00BF32FF">
        <w:t xml:space="preserve">leads </w:t>
      </w:r>
      <w:r>
        <w:t xml:space="preserve">to misinterpretations every year.  The current standard is based on a probabilistic simulation of the region’s power supply. That probabilistic measure is converted into more commonly used static measures of power supply, namely annual load/resource balance and hourly planning reserve margins.  Comparison of these static </w:t>
      </w:r>
      <w:r w:rsidR="00A758C2">
        <w:t>measures</w:t>
      </w:r>
      <w:r>
        <w:t xml:space="preserve"> to similar calculations reported in utility publications has always led planners into a quagmire</w:t>
      </w:r>
      <w:r w:rsidR="0082707A">
        <w:t xml:space="preserve"> of confusion</w:t>
      </w:r>
      <w:r w:rsidR="00A758C2">
        <w:t xml:space="preserve">, mostly </w:t>
      </w:r>
      <w:r w:rsidR="0082707A">
        <w:t xml:space="preserve">because </w:t>
      </w:r>
      <w:r w:rsidR="00E724FF">
        <w:t xml:space="preserve">each set of calculations </w:t>
      </w:r>
      <w:r w:rsidR="00BF32FF">
        <w:t xml:space="preserve">is </w:t>
      </w:r>
      <w:r w:rsidR="00E724FF">
        <w:t xml:space="preserve">used for different purposes. </w:t>
      </w:r>
    </w:p>
    <w:p w:rsidR="0082707A" w:rsidRDefault="0082707A" w:rsidP="00D422F8">
      <w:r>
        <w:t xml:space="preserve">Because of the issue mentioned above and other </w:t>
      </w:r>
      <w:r w:rsidR="00BF32FF">
        <w:t>considerations</w:t>
      </w:r>
      <w:r w:rsidR="00A758C2">
        <w:t>,</w:t>
      </w:r>
      <w:r>
        <w:t xml:space="preserve"> the Forum chose to have its methodology reviewed by a peer group.  Results indicated that while the current standard was sound, it could be improved.  This paper describes the current standard and the proposed revisions </w:t>
      </w:r>
      <w:r w:rsidR="00A758C2">
        <w:t xml:space="preserve">prompted by the peer review. </w:t>
      </w:r>
    </w:p>
    <w:p w:rsidR="0082707A" w:rsidRDefault="00C31C87" w:rsidP="00D422F8">
      <w:r>
        <w:t>T</w:t>
      </w:r>
      <w:r w:rsidR="0082707A">
        <w:t xml:space="preserve">here are three elements of an adequacy standard that </w:t>
      </w:r>
      <w:r>
        <w:t>can</w:t>
      </w:r>
      <w:r w:rsidR="00A758C2">
        <w:t xml:space="preserve"> </w:t>
      </w:r>
      <w:r w:rsidR="0082707A">
        <w:t xml:space="preserve">be </w:t>
      </w:r>
      <w:r>
        <w:t xml:space="preserve">addressed </w:t>
      </w:r>
      <w:r w:rsidR="0082707A">
        <w:t>separate</w:t>
      </w:r>
      <w:r>
        <w:t>ly</w:t>
      </w:r>
      <w:r w:rsidR="0082707A">
        <w:t xml:space="preserve">.  Those three elements are; 1) the methodology, 2) the </w:t>
      </w:r>
      <w:r w:rsidR="00BF32FF">
        <w:t xml:space="preserve">metric and </w:t>
      </w:r>
      <w:r w:rsidR="0082707A">
        <w:t xml:space="preserve">threshold used to define an adequate supply and 3) assumptions made about resources and loads, in particular about non-firm </w:t>
      </w:r>
      <w:r>
        <w:t xml:space="preserve">and </w:t>
      </w:r>
      <w:r w:rsidR="0082707A">
        <w:t xml:space="preserve">standby resources.  </w:t>
      </w:r>
      <w:r w:rsidR="00C33C8E">
        <w:t>The peer review assured us that the methodology is appropriate.  Assumptions regarding non-firm and standby resources are still being refined and the Forum will have an opportunity at a later date to review and approve those assumptions.  Thus, t</w:t>
      </w:r>
      <w:r w:rsidR="0082707A">
        <w:t xml:space="preserve">his paper focuses </w:t>
      </w:r>
      <w:r w:rsidR="00C33C8E">
        <w:t xml:space="preserve">only </w:t>
      </w:r>
      <w:r w:rsidR="0082707A">
        <w:t xml:space="preserve">on the </w:t>
      </w:r>
      <w:r>
        <w:t>metric and threshold.  T</w:t>
      </w:r>
      <w:r w:rsidR="0082707A">
        <w:t xml:space="preserve">he Forum </w:t>
      </w:r>
      <w:r w:rsidR="00BF32FF">
        <w:t xml:space="preserve">will be </w:t>
      </w:r>
      <w:r w:rsidR="0082707A">
        <w:t xml:space="preserve">asking the Council to review and approve </w:t>
      </w:r>
      <w:r w:rsidR="00C33C8E">
        <w:t>its</w:t>
      </w:r>
      <w:r>
        <w:t xml:space="preserve"> suggested metric and corresponding threshold level</w:t>
      </w:r>
      <w:r w:rsidR="00112F20">
        <w:t>, which will define an adequate supply for the Pacific Northwest</w:t>
      </w:r>
      <w:r w:rsidR="0082707A">
        <w:t xml:space="preserve">.  </w:t>
      </w:r>
    </w:p>
    <w:p w:rsidR="006843F6" w:rsidRDefault="0082707A" w:rsidP="00D422F8">
      <w:r>
        <w:t xml:space="preserve">The </w:t>
      </w:r>
      <w:r w:rsidR="00835E75">
        <w:t xml:space="preserve">2011 </w:t>
      </w:r>
      <w:r>
        <w:t xml:space="preserve">proposed </w:t>
      </w:r>
      <w:r w:rsidR="00835E75">
        <w:t xml:space="preserve">revisions to the current </w:t>
      </w:r>
      <w:r>
        <w:t xml:space="preserve">adequacy standard </w:t>
      </w:r>
      <w:r w:rsidR="00835E75">
        <w:t xml:space="preserve">make it </w:t>
      </w:r>
      <w:r>
        <w:t xml:space="preserve">simpler and </w:t>
      </w:r>
      <w:r w:rsidR="00835E75">
        <w:t>more informative</w:t>
      </w:r>
      <w:r>
        <w:t>.  It keeps the probabilistic approach to assessing adequacy but drops the conversion to static metrics.  Its function is focused on being an early warning should regional resource developm</w:t>
      </w:r>
      <w:r w:rsidR="006843F6">
        <w:t>ent fall dangerously short.  In this sense, it is like a smoke alarm –</w:t>
      </w:r>
      <w:r w:rsidR="00A758C2">
        <w:t xml:space="preserve"> </w:t>
      </w:r>
      <w:r w:rsidR="006843F6">
        <w:t>must have one but hope it never goes off.  But</w:t>
      </w:r>
      <w:r w:rsidR="00A758C2">
        <w:t>,</w:t>
      </w:r>
      <w:r w:rsidR="006843F6">
        <w:t xml:space="preserve"> while the new standard may be simpler, the annual assessment will provide a</w:t>
      </w:r>
      <w:r w:rsidR="00A758C2">
        <w:t xml:space="preserve">dditional </w:t>
      </w:r>
      <w:r w:rsidR="00112F20">
        <w:t xml:space="preserve">analytical </w:t>
      </w:r>
      <w:r w:rsidR="006843F6">
        <w:t>information</w:t>
      </w:r>
      <w:r w:rsidR="00A758C2">
        <w:t xml:space="preserve"> that should prove to be very useful to utilit</w:t>
      </w:r>
      <w:r w:rsidR="00112F20">
        <w:t>y planners</w:t>
      </w:r>
      <w:r w:rsidR="006843F6">
        <w:t xml:space="preserve">.  </w:t>
      </w:r>
      <w:r w:rsidR="001D009C">
        <w:t xml:space="preserve">This additional information will be referred to as a “state of the system” report. </w:t>
      </w:r>
    </w:p>
    <w:p w:rsidR="00807188" w:rsidRDefault="00A758C2" w:rsidP="00D422F8">
      <w:r>
        <w:t xml:space="preserve">The proposed </w:t>
      </w:r>
      <w:r w:rsidR="00112F20">
        <w:t>adequacy metric is</w:t>
      </w:r>
      <w:r w:rsidR="006843F6">
        <w:t xml:space="preserve"> </w:t>
      </w:r>
      <w:r>
        <w:t>the l</w:t>
      </w:r>
      <w:r w:rsidR="006843F6">
        <w:t>oss-of-load probability (LOLP)</w:t>
      </w:r>
      <w:r>
        <w:t xml:space="preserve"> </w:t>
      </w:r>
      <w:r w:rsidR="00112F20">
        <w:t>and the associated threshold is 5 percent.  I</w:t>
      </w:r>
      <w:r>
        <w:t xml:space="preserve">n other words, the power supply is deemed to be adequate if its LOLP is 5 percent or less.  The LOLP </w:t>
      </w:r>
      <w:r w:rsidR="00112F20">
        <w:t>is</w:t>
      </w:r>
      <w:r>
        <w:t xml:space="preserve"> </w:t>
      </w:r>
      <w:r w:rsidR="006843F6">
        <w:t>based on an annual analysis</w:t>
      </w:r>
      <w:r w:rsidR="00112F20">
        <w:t xml:space="preserve">, in which the operation </w:t>
      </w:r>
      <w:r w:rsidR="00112F20">
        <w:lastRenderedPageBreak/>
        <w:t>of the power supply is simulated over each hour of every month</w:t>
      </w:r>
      <w:r w:rsidR="006843F6">
        <w:t xml:space="preserve">.  The LOLP is calculated by dividing the number of </w:t>
      </w:r>
      <w:r w:rsidR="00112F20">
        <w:t xml:space="preserve">yearly </w:t>
      </w:r>
      <w:r w:rsidR="006843F6">
        <w:t xml:space="preserve">simulations with significant curtailment events by the total number of simulations.  Significant curtailment events are defined as shortfalls that exceed the capability of standby resources and </w:t>
      </w:r>
      <w:r w:rsidR="00112F20">
        <w:t xml:space="preserve">contractual </w:t>
      </w:r>
      <w:r w:rsidR="006843F6">
        <w:t xml:space="preserve">load management actions.  </w:t>
      </w:r>
      <w:r w:rsidR="008F656D">
        <w:t xml:space="preserve">    </w:t>
      </w:r>
    </w:p>
    <w:p w:rsidR="00D422F8" w:rsidRPr="00D422F8" w:rsidRDefault="00D422F8" w:rsidP="0091421B">
      <w:pPr>
        <w:pStyle w:val="Heading1"/>
      </w:pPr>
      <w:bookmarkStart w:id="4" w:name="_Toc304194264"/>
      <w:r w:rsidRPr="00D422F8">
        <w:t>Background</w:t>
      </w:r>
      <w:bookmarkEnd w:id="4"/>
    </w:p>
    <w:p w:rsidR="00D422F8" w:rsidRDefault="00D422F8" w:rsidP="00D422F8">
      <w:r w:rsidRPr="008D01B8">
        <w:t xml:space="preserve">In 2005, </w:t>
      </w:r>
      <w:r>
        <w:t>t</w:t>
      </w:r>
      <w:r w:rsidRPr="008D01B8">
        <w:t xml:space="preserve">he </w:t>
      </w:r>
      <w:r>
        <w:t xml:space="preserve">Pacific Northwest Power and Conservation </w:t>
      </w:r>
      <w:r w:rsidRPr="008D01B8">
        <w:t xml:space="preserve">Council </w:t>
      </w:r>
      <w:r>
        <w:t>(Council) and the Bonneville Power Administration (BPA)</w:t>
      </w:r>
      <w:r w:rsidRPr="008D01B8">
        <w:t xml:space="preserve"> </w:t>
      </w:r>
      <w:r>
        <w:t>created</w:t>
      </w:r>
      <w:r w:rsidRPr="008D01B8">
        <w:t xml:space="preserve"> the Pacific Northwest Resource Adequacy </w:t>
      </w:r>
      <w:r>
        <w:t>Forum (Forum).</w:t>
      </w:r>
      <w:r w:rsidRPr="008D01B8">
        <w:t xml:space="preserve">  </w:t>
      </w:r>
      <w:r>
        <w:t>The Forum</w:t>
      </w:r>
      <w:r w:rsidRPr="006C75C0">
        <w:t xml:space="preserve"> includes representatives from the region’s </w:t>
      </w:r>
      <w:r>
        <w:t xml:space="preserve">electric </w:t>
      </w:r>
      <w:r w:rsidRPr="006C75C0">
        <w:t xml:space="preserve">utilities and utility organizations, </w:t>
      </w:r>
      <w:r>
        <w:t xml:space="preserve">public utility commissions and public interest groups, </w:t>
      </w:r>
      <w:r w:rsidRPr="006C75C0">
        <w:t xml:space="preserve">as well as from BPA and the Council.  It is made up of a steering committee and a technical committee.  </w:t>
      </w:r>
    </w:p>
    <w:p w:rsidR="00D422F8" w:rsidRDefault="00D422F8" w:rsidP="00D422F8">
      <w:r>
        <w:t>The Forum</w:t>
      </w:r>
      <w:r w:rsidRPr="008D01B8">
        <w:t xml:space="preserve">’s overarching goal is to </w:t>
      </w:r>
      <w:r>
        <w:rPr>
          <w:i/>
        </w:rPr>
        <w:t>“establish a resource adequacy f</w:t>
      </w:r>
      <w:r w:rsidRPr="008D01B8">
        <w:rPr>
          <w:i/>
        </w:rPr>
        <w:t>ramework for the P</w:t>
      </w:r>
      <w:r>
        <w:rPr>
          <w:i/>
        </w:rPr>
        <w:t>acific Northwest</w:t>
      </w:r>
      <w:r w:rsidRPr="008D01B8">
        <w:rPr>
          <w:i/>
        </w:rPr>
        <w:t xml:space="preserve"> to provide a clear, consistent, and unambiguous means of answering the question of whether the region has adequate deliverable resources to meet its load reliably and to develop an effective implementation framework.”</w:t>
      </w:r>
      <w:r w:rsidRPr="008D01B8">
        <w:t xml:space="preserve">  </w:t>
      </w:r>
    </w:p>
    <w:p w:rsidR="00D422F8" w:rsidRDefault="00D422F8" w:rsidP="00D422F8">
      <w:r>
        <w:t xml:space="preserve">Toward that end, the Forum </w:t>
      </w:r>
      <w:r w:rsidR="0055723C">
        <w:t xml:space="preserve">reached a </w:t>
      </w:r>
      <w:r>
        <w:t>consensus</w:t>
      </w:r>
      <w:r w:rsidR="0055723C">
        <w:t xml:space="preserve"> in recommending a </w:t>
      </w:r>
      <w:r>
        <w:t>Resource Adequacy Standard</w:t>
      </w:r>
      <w:r>
        <w:rPr>
          <w:rStyle w:val="FootnoteReference"/>
        </w:rPr>
        <w:footnoteReference w:id="1"/>
      </w:r>
      <w:r>
        <w:t xml:space="preserve"> (Standard) for the Pacific Northwest </w:t>
      </w:r>
      <w:r w:rsidR="00807188">
        <w:t>region</w:t>
      </w:r>
      <w:r>
        <w:t xml:space="preserve">.  The Forum’s proposed standard was </w:t>
      </w:r>
      <w:r w:rsidR="00807188">
        <w:t xml:space="preserve">officially </w:t>
      </w:r>
      <w:r>
        <w:t xml:space="preserve">adopted by the Council in April of 2008.  </w:t>
      </w:r>
    </w:p>
    <w:p w:rsidR="00807188" w:rsidRDefault="00807188" w:rsidP="00807188">
      <w:r w:rsidRPr="005147A2">
        <w:t xml:space="preserve">The </w:t>
      </w:r>
      <w:r>
        <w:t>S</w:t>
      </w:r>
      <w:r w:rsidRPr="005147A2">
        <w:t xml:space="preserve">tandard </w:t>
      </w:r>
      <w:r>
        <w:t>serves as a gauge to assess whether the Northwest</w:t>
      </w:r>
      <w:r w:rsidR="000D3AAB">
        <w:t>’s</w:t>
      </w:r>
      <w:r>
        <w:t xml:space="preserve"> electricity supply is sufficient to meet the region’s needs now and in the future.  It provides a </w:t>
      </w:r>
      <w:r w:rsidRPr="003937BB">
        <w:rPr>
          <w:i/>
        </w:rPr>
        <w:t>minimum threshold</w:t>
      </w:r>
      <w:r w:rsidRPr="005147A2">
        <w:t xml:space="preserve"> that serves as an early warning should resource development fall </w:t>
      </w:r>
      <w:r>
        <w:t xml:space="preserve">dangerously </w:t>
      </w:r>
      <w:r w:rsidRPr="005147A2">
        <w:t>short</w:t>
      </w:r>
      <w:r>
        <w:t xml:space="preserve">.  It </w:t>
      </w:r>
      <w:r w:rsidRPr="005147A2">
        <w:t xml:space="preserve">does not </w:t>
      </w:r>
      <w:r>
        <w:t>mandate</w:t>
      </w:r>
      <w:r w:rsidRPr="005147A2">
        <w:t xml:space="preserve"> compliance or imply </w:t>
      </w:r>
      <w:r>
        <w:t xml:space="preserve">any </w:t>
      </w:r>
      <w:r w:rsidRPr="005147A2">
        <w:t xml:space="preserve">enforcement mechanisms.  </w:t>
      </w:r>
      <w:r>
        <w:t xml:space="preserve">It does not directly </w:t>
      </w:r>
      <w:r w:rsidRPr="005147A2">
        <w:t>apply to individual utilities</w:t>
      </w:r>
      <w:r>
        <w:t xml:space="preserve"> – </w:t>
      </w:r>
      <w:r w:rsidRPr="005147A2">
        <w:t>because every utility’s circumstances differ.</w:t>
      </w:r>
      <w:r>
        <w:t xml:space="preserve"> What it is intended to do, is to initiate a discussion among </w:t>
      </w:r>
      <w:r w:rsidR="0055723C">
        <w:t xml:space="preserve">appropriate </w:t>
      </w:r>
      <w:r>
        <w:t xml:space="preserve">regional </w:t>
      </w:r>
      <w:r w:rsidR="0055723C">
        <w:t>entities</w:t>
      </w:r>
      <w:r>
        <w:t xml:space="preserve">, should the assessment indicate that resource development is seriously lagging.  </w:t>
      </w:r>
    </w:p>
    <w:p w:rsidR="00807188" w:rsidRDefault="00807188" w:rsidP="00807188">
      <w:r>
        <w:t>The current standard has been in use since 2008. Every year since then, the adequacy assessment has shown the Northwest’s power supply to be adequate.  However, the most recently published assessment</w:t>
      </w:r>
      <w:r>
        <w:rPr>
          <w:rStyle w:val="FootnoteReference"/>
        </w:rPr>
        <w:footnoteReference w:id="2"/>
      </w:r>
      <w:r>
        <w:t xml:space="preserve"> warned that our summer electricity needs were growing rapidly and that increasing amounts of variable generation (</w:t>
      </w:r>
      <w:r w:rsidR="000D3AAB">
        <w:t xml:space="preserve">such as </w:t>
      </w:r>
      <w:r>
        <w:t>wind) are adding to the complexity of system operation.</w:t>
      </w:r>
    </w:p>
    <w:p w:rsidR="00807188" w:rsidRDefault="00807188" w:rsidP="00807188">
      <w:r>
        <w:lastRenderedPageBreak/>
        <w:t xml:space="preserve">Since its inception, the adequacy assessment has sparked a debate about what it really measures and how it relates to individual utility planning.  It was pointed out that an apparent discrepancy existed even in the Council’s own power plan. The assessment in the sixth plan indicated that the power supply was adequate at least through 2015, yet the resource acquisition strategy in the same plan encouraged aggressive acquisition of conservation and other resources beyond the adequacy threshold.  The answer, of course, is that an adequacy assessment does not equate to a resource needs assessment.  The latter involves much more than simply “keeping the lights on.”  While an adequacy assessment indicates the likelihood of curtailment, cost notwithstanding, a resource needs assessment takes economic, political and environmental effects into consideration.  </w:t>
      </w:r>
      <w:r w:rsidR="00835E75">
        <w:t xml:space="preserve">For example, the amount of reliance on market supply becomes a policy decision when performing a resource needs assessment. Some utilities may choose to assess their resource needs in the absence of a market supply. </w:t>
      </w:r>
      <w:r>
        <w:t xml:space="preserve">    </w:t>
      </w:r>
    </w:p>
    <w:p w:rsidR="00807188" w:rsidRDefault="00807188" w:rsidP="00807188">
      <w:r>
        <w:t>Nonetheless, it became clear to Forum members that the current standard was not as useful to planners as originally believed. Thus, the Forum initiated a peer review</w:t>
      </w:r>
      <w:r w:rsidR="006165FE">
        <w:rPr>
          <w:rStyle w:val="FootnoteReference"/>
        </w:rPr>
        <w:footnoteReference w:id="3"/>
      </w:r>
      <w:r>
        <w:t xml:space="preserve"> for the methodology used to develop the standard.  That review was completed in May of 2011 and recommended that the standard be modified to include a measure of the size of potential problems.  It also implied that a secondary measure </w:t>
      </w:r>
      <w:r w:rsidR="00DD6D92">
        <w:t>should</w:t>
      </w:r>
      <w:r>
        <w:t xml:space="preserve"> be assessed</w:t>
      </w:r>
      <w:r w:rsidR="005E1B87">
        <w:t>;</w:t>
      </w:r>
      <w:r>
        <w:t xml:space="preserve"> one </w:t>
      </w:r>
      <w:r w:rsidR="0055723C">
        <w:t>that measures</w:t>
      </w:r>
      <w:r>
        <w:t xml:space="preserve"> how often </w:t>
      </w:r>
      <w:r w:rsidR="00A758C2">
        <w:t xml:space="preserve">standby </w:t>
      </w:r>
      <w:r>
        <w:t xml:space="preserve">resources </w:t>
      </w:r>
      <w:r w:rsidR="005E1B87">
        <w:t xml:space="preserve">might </w:t>
      </w:r>
      <w:r>
        <w:t xml:space="preserve">be dispatched.  When the dispatch likelihood for </w:t>
      </w:r>
      <w:r w:rsidR="005E1B87">
        <w:t xml:space="preserve">standby </w:t>
      </w:r>
      <w:r>
        <w:t xml:space="preserve">resources </w:t>
      </w:r>
      <w:r w:rsidR="005E1B87">
        <w:t>grows too high</w:t>
      </w:r>
      <w:r>
        <w:t xml:space="preserve">, </w:t>
      </w:r>
      <w:r w:rsidR="00940E82">
        <w:t xml:space="preserve">system </w:t>
      </w:r>
      <w:r>
        <w:t xml:space="preserve">operators </w:t>
      </w:r>
      <w:r w:rsidR="00940E82">
        <w:t xml:space="preserve">are </w:t>
      </w:r>
      <w:r>
        <w:t xml:space="preserve">likely </w:t>
      </w:r>
      <w:r w:rsidR="00940E82">
        <w:t xml:space="preserve">to </w:t>
      </w:r>
      <w:r>
        <w:t>become more uneasy</w:t>
      </w:r>
      <w:r w:rsidR="00940E82">
        <w:t>,</w:t>
      </w:r>
      <w:r>
        <w:t xml:space="preserve"> </w:t>
      </w:r>
      <w:r w:rsidR="005E1B87">
        <w:t xml:space="preserve">which </w:t>
      </w:r>
      <w:r w:rsidR="00940E82">
        <w:t>may be</w:t>
      </w:r>
      <w:r w:rsidR="005E1B87">
        <w:t xml:space="preserve"> a good indication </w:t>
      </w:r>
      <w:r>
        <w:t xml:space="preserve">that new resources are needed.  This secondary measure </w:t>
      </w:r>
      <w:r w:rsidR="005E1B87">
        <w:t xml:space="preserve">goes beyond assessing whether the supply </w:t>
      </w:r>
      <w:r w:rsidR="007C6C02">
        <w:t xml:space="preserve">is adequate and </w:t>
      </w:r>
      <w:r w:rsidR="00940E82">
        <w:t>is likely to be</w:t>
      </w:r>
      <w:r w:rsidR="007C6C02">
        <w:t xml:space="preserve"> </w:t>
      </w:r>
      <w:r>
        <w:t xml:space="preserve">more consistent with utility resource need assessments.   </w:t>
      </w:r>
    </w:p>
    <w:p w:rsidR="00DE0688" w:rsidRPr="006165FE" w:rsidRDefault="006165FE" w:rsidP="0091421B">
      <w:pPr>
        <w:pStyle w:val="Heading1"/>
      </w:pPr>
      <w:bookmarkStart w:id="5" w:name="_Toc304194265"/>
      <w:r w:rsidRPr="006165FE">
        <w:t>Methodology</w:t>
      </w:r>
      <w:bookmarkEnd w:id="5"/>
    </w:p>
    <w:p w:rsidR="006165FE" w:rsidRDefault="006165FE" w:rsidP="006165FE">
      <w:r>
        <w:t>The Council use</w:t>
      </w:r>
      <w:r w:rsidR="009A007F">
        <w:t>s</w:t>
      </w:r>
      <w:r>
        <w:t xml:space="preserve"> </w:t>
      </w:r>
      <w:r w:rsidR="009A007F">
        <w:t xml:space="preserve">a Monte Carlo (probabilistic) </w:t>
      </w:r>
      <w:r w:rsidR="00940E82">
        <w:t>methodology</w:t>
      </w:r>
      <w:r w:rsidR="009A007F">
        <w:t xml:space="preserve"> t</w:t>
      </w:r>
      <w:r>
        <w:t xml:space="preserve">o </w:t>
      </w:r>
      <w:r w:rsidR="009A007F">
        <w:t xml:space="preserve">assess the adequacy of the region’s power supply.  The </w:t>
      </w:r>
      <w:r>
        <w:t>GENESYS</w:t>
      </w:r>
      <w:r w:rsidR="009A007F">
        <w:rPr>
          <w:rStyle w:val="FootnoteReference"/>
        </w:rPr>
        <w:footnoteReference w:id="4"/>
      </w:r>
      <w:r w:rsidR="009A007F">
        <w:t xml:space="preserve"> </w:t>
      </w:r>
      <w:r w:rsidR="00940E82">
        <w:t xml:space="preserve">computer </w:t>
      </w:r>
      <w:r>
        <w:t>model</w:t>
      </w:r>
      <w:r w:rsidR="009A007F">
        <w:t xml:space="preserve"> was developed in 1999 and </w:t>
      </w:r>
      <w:r>
        <w:t xml:space="preserve">performs a detailed </w:t>
      </w:r>
      <w:r w:rsidR="009A007F">
        <w:t xml:space="preserve">hourly chronological </w:t>
      </w:r>
      <w:r>
        <w:t>simulation of the Northwest</w:t>
      </w:r>
      <w:r w:rsidR="009A007F">
        <w:t xml:space="preserve">’s resources, including the hydroelectric system, over many different possible future conditions.  </w:t>
      </w:r>
      <w:r>
        <w:t xml:space="preserve">Each </w:t>
      </w:r>
      <w:r w:rsidR="009A007F">
        <w:t>future</w:t>
      </w:r>
      <w:r w:rsidR="00791343">
        <w:t>’s operation</w:t>
      </w:r>
      <w:r w:rsidR="009A007F">
        <w:t xml:space="preserve"> is simulated </w:t>
      </w:r>
      <w:r>
        <w:t xml:space="preserve">using different </w:t>
      </w:r>
      <w:r w:rsidR="009A007F">
        <w:t>assumptions</w:t>
      </w:r>
      <w:r>
        <w:t xml:space="preserve"> for uncertain variables, </w:t>
      </w:r>
      <w:r w:rsidR="009A007F">
        <w:t xml:space="preserve">namely; 1) </w:t>
      </w:r>
      <w:r w:rsidR="00791343">
        <w:t xml:space="preserve">river flows </w:t>
      </w:r>
      <w:r>
        <w:t>(which affect the amount of water for hydroelectric generation)</w:t>
      </w:r>
      <w:r w:rsidR="009A007F">
        <w:t xml:space="preserve">, 2) </w:t>
      </w:r>
      <w:r>
        <w:t>temperature (which affects demand for electricity)</w:t>
      </w:r>
      <w:r w:rsidR="009A007F">
        <w:t>, 3) forced outage conditions for generating resources and 4) wind generation</w:t>
      </w:r>
      <w:r>
        <w:t xml:space="preserve">.  </w:t>
      </w:r>
    </w:p>
    <w:p w:rsidR="006165FE" w:rsidRDefault="006165FE" w:rsidP="006165FE">
      <w:r>
        <w:lastRenderedPageBreak/>
        <w:t>GENESYS provides much more information to decision makers than simple deterministic (static) comparison</w:t>
      </w:r>
      <w:r w:rsidR="009A007F">
        <w:t>s</w:t>
      </w:r>
      <w:r>
        <w:t xml:space="preserve"> between resources and demand.  Besides the expected values for hydroelectric </w:t>
      </w:r>
      <w:r w:rsidR="00791343">
        <w:t xml:space="preserve">and thermal </w:t>
      </w:r>
      <w:r>
        <w:t>generation</w:t>
      </w:r>
      <w:r w:rsidR="00791343">
        <w:t xml:space="preserve">, it </w:t>
      </w:r>
      <w:r>
        <w:t xml:space="preserve">also provides </w:t>
      </w:r>
      <w:r w:rsidR="00791343">
        <w:t xml:space="preserve">statistical data regarding the </w:t>
      </w:r>
      <w:r>
        <w:t xml:space="preserve">operation </w:t>
      </w:r>
      <w:r w:rsidR="00791343">
        <w:t>of</w:t>
      </w:r>
      <w:r>
        <w:t xml:space="preserve"> each resource.  </w:t>
      </w:r>
      <w:r w:rsidR="00791343">
        <w:t>Most importantly, i</w:t>
      </w:r>
      <w:r>
        <w:t xml:space="preserve">t </w:t>
      </w:r>
      <w:r w:rsidR="00791343">
        <w:t>records hours</w:t>
      </w:r>
      <w:r>
        <w:t xml:space="preserve"> when the power supply is not able to meet all </w:t>
      </w:r>
      <w:r w:rsidR="00791343">
        <w:t>demand</w:t>
      </w:r>
      <w:r>
        <w:t xml:space="preserve"> obligations</w:t>
      </w:r>
      <w:r w:rsidR="00791343">
        <w:t xml:space="preserve"> – and </w:t>
      </w:r>
      <w:r>
        <w:t>conditions under which the</w:t>
      </w:r>
      <w:r w:rsidR="00791343">
        <w:t xml:space="preserve">se </w:t>
      </w:r>
      <w:r w:rsidR="00940E82">
        <w:t xml:space="preserve">shortfalls </w:t>
      </w:r>
      <w:r w:rsidR="00791343">
        <w:t xml:space="preserve">occur.  </w:t>
      </w:r>
      <w:r>
        <w:t xml:space="preserve">The frequency, duration, </w:t>
      </w:r>
      <w:r w:rsidR="00D23CE0">
        <w:t>size and timing</w:t>
      </w:r>
      <w:r>
        <w:t xml:space="preserve"> of curtailment events are recorded </w:t>
      </w:r>
      <w:r w:rsidR="00791343">
        <w:t xml:space="preserve">and </w:t>
      </w:r>
      <w:r>
        <w:t xml:space="preserve">the overall probability of not being able to fully serve load is calculated.  This probability, commonly referred to as the loss-of-load probability (LOLP), is the </w:t>
      </w:r>
      <w:r w:rsidR="00791343">
        <w:t>metric used to assess adequacy of the power supply</w:t>
      </w:r>
      <w:r>
        <w:t xml:space="preserve">. </w:t>
      </w:r>
    </w:p>
    <w:p w:rsidR="006165FE" w:rsidRDefault="006165FE" w:rsidP="006165FE">
      <w:r>
        <w:t xml:space="preserve">For the Northwest, the Council has defined an adequate </w:t>
      </w:r>
      <w:r w:rsidR="003C449C">
        <w:t>power supply</w:t>
      </w:r>
      <w:r>
        <w:t xml:space="preserve"> to have an LOLP no greater than 5 percent.  This means that </w:t>
      </w:r>
      <w:r w:rsidR="003C449C">
        <w:t xml:space="preserve">out </w:t>
      </w:r>
      <w:r>
        <w:t>of all the simulations run</w:t>
      </w:r>
      <w:r w:rsidR="00484E03">
        <w:t>,</w:t>
      </w:r>
      <w:r w:rsidR="003C449C">
        <w:t xml:space="preserve"> </w:t>
      </w:r>
      <w:r>
        <w:t xml:space="preserve">no more than 5 percent </w:t>
      </w:r>
      <w:r w:rsidR="003C449C">
        <w:t>of the</w:t>
      </w:r>
      <w:r w:rsidR="00ED50C0">
        <w:t>m</w:t>
      </w:r>
      <w:r w:rsidR="003C449C">
        <w:t xml:space="preserve"> </w:t>
      </w:r>
      <w:r>
        <w:t xml:space="preserve">had significant curtailments.  </w:t>
      </w:r>
      <w:r w:rsidR="00F202DF">
        <w:t xml:space="preserve">In other words, the likelihood of </w:t>
      </w:r>
      <w:r w:rsidR="00215589">
        <w:t xml:space="preserve">the region </w:t>
      </w:r>
      <w:r w:rsidR="00F202DF">
        <w:t xml:space="preserve">experiencing a significant </w:t>
      </w:r>
      <w:r w:rsidR="00215589">
        <w:t xml:space="preserve">shortfall </w:t>
      </w:r>
      <w:r w:rsidR="00F202DF">
        <w:t xml:space="preserve">during any time of the year </w:t>
      </w:r>
      <w:r w:rsidR="00215589">
        <w:t xml:space="preserve">must be </w:t>
      </w:r>
      <w:r w:rsidR="00F202DF">
        <w:t xml:space="preserve">5 percent </w:t>
      </w:r>
      <w:r w:rsidR="00215589">
        <w:t xml:space="preserve">or less in order for the supply to be deemed adequate. </w:t>
      </w:r>
      <w:r w:rsidR="003C449C">
        <w:t xml:space="preserve">  </w:t>
      </w:r>
    </w:p>
    <w:p w:rsidR="00ED50C0" w:rsidRPr="00ED50C0" w:rsidRDefault="00ED50C0" w:rsidP="0091421B">
      <w:pPr>
        <w:pStyle w:val="Heading1"/>
      </w:pPr>
      <w:bookmarkStart w:id="6" w:name="_Toc304194266"/>
      <w:r w:rsidRPr="00ED50C0">
        <w:t xml:space="preserve">The </w:t>
      </w:r>
      <w:r w:rsidR="00484E03">
        <w:t>Current</w:t>
      </w:r>
      <w:r w:rsidRPr="00ED50C0">
        <w:t xml:space="preserve"> Standard</w:t>
      </w:r>
      <w:bookmarkEnd w:id="6"/>
    </w:p>
    <w:p w:rsidR="00484E03" w:rsidRDefault="00365C18" w:rsidP="006165FE">
      <w:r>
        <w:t xml:space="preserve">The current standard uses the 5 percent LOLP threshold as a basis to calculate minimum thresholds for three deterministic metrics, one for energy, one for winter capacity and one for summer capacity.  </w:t>
      </w:r>
      <w:r w:rsidR="00484E03">
        <w:t xml:space="preserve">These deterministic metrics act as a surrogate for the LOLP metric and can be calculated without the use of a Monte Carlo simulation program.  It was believed that by defining thresholds for these deterministic metrics, the adequacy of the power supply could more readily be assessed. </w:t>
      </w:r>
      <w:r>
        <w:t xml:space="preserve"> </w:t>
      </w:r>
    </w:p>
    <w:p w:rsidR="00484E03" w:rsidRDefault="00484E03" w:rsidP="006165FE">
      <w:r>
        <w:t>The deterministic adequacy metric for energy is the annual balance between resources and demand.  The resources include reasonable assumptions about the availability of non-firm resources and market supplies.  The demand includes assumptions regarding the anticipated amount of efficiency gains in the year to be analyzed.  The threshold for the energy metric is zero, meaning that resources must at least equal the amount of firm demand</w:t>
      </w:r>
      <w:r w:rsidR="00215589">
        <w:t>, on an annual basis,</w:t>
      </w:r>
      <w:r>
        <w:t xml:space="preserve"> in order to provide an adequate supply.</w:t>
      </w:r>
    </w:p>
    <w:p w:rsidR="005B3878" w:rsidRDefault="00484E03" w:rsidP="006165FE">
      <w:r>
        <w:t xml:space="preserve">The deterministic adequacy metric for capacity is the planning </w:t>
      </w:r>
      <w:r w:rsidR="00215589">
        <w:t xml:space="preserve">reserve </w:t>
      </w:r>
      <w:r>
        <w:t xml:space="preserve">margin or the surplus generating capability over a sustained peak period.  The sustained peak period is defined to be the 6 highest demand hours of the day over 3 consecutive </w:t>
      </w:r>
      <w:r w:rsidR="00215589">
        <w:t>days</w:t>
      </w:r>
      <w:r>
        <w:t xml:space="preserve">.  This 18-hour </w:t>
      </w:r>
      <w:r w:rsidR="005B3878">
        <w:t xml:space="preserve">non-contiguous period </w:t>
      </w:r>
      <w:r w:rsidR="00215589">
        <w:t>is intended to capture</w:t>
      </w:r>
      <w:r w:rsidR="005B3878">
        <w:t xml:space="preserve"> the </w:t>
      </w:r>
      <w:r w:rsidR="00215589">
        <w:t>highest demand hours over</w:t>
      </w:r>
      <w:r w:rsidR="005B3878">
        <w:t xml:space="preserve"> a winter cold snap or summer heat wave event.  The minimum thresholds for the winter and summer sustained-peak planning </w:t>
      </w:r>
      <w:r w:rsidR="00215589">
        <w:t xml:space="preserve">reserve </w:t>
      </w:r>
      <w:r w:rsidR="005B3878">
        <w:t xml:space="preserve">margins are 23 and 24 percent respectively.  Resource assumptions used to calculate </w:t>
      </w:r>
      <w:r w:rsidR="00215589">
        <w:t>the</w:t>
      </w:r>
      <w:r w:rsidR="005B3878">
        <w:t xml:space="preserve"> system’s planning reserve margins are similar to those used for the energy metric, in that they include some non-firm and market resources.</w:t>
      </w:r>
    </w:p>
    <w:p w:rsidR="005B3878" w:rsidRDefault="00362AA3" w:rsidP="006165FE">
      <w:r>
        <w:t xml:space="preserve">Unfortunately, the use of deterministic adequacy metrics became problematic.  For one thing, each time the system changed, deterministic thresholds would have to be recalibrated </w:t>
      </w:r>
      <w:r>
        <w:lastRenderedPageBreak/>
        <w:t xml:space="preserve">to the 5 percent LOLP standard.  Secondly, it was difficult to compare the annual load/resource balance and the planning </w:t>
      </w:r>
      <w:r w:rsidR="004A6E2C">
        <w:t xml:space="preserve">reserve </w:t>
      </w:r>
      <w:r>
        <w:t>margins to similar metrics published in utility reports</w:t>
      </w:r>
      <w:r>
        <w:rPr>
          <w:rStyle w:val="FootnoteReference"/>
        </w:rPr>
        <w:footnoteReference w:id="5"/>
      </w:r>
      <w:r>
        <w:t xml:space="preserve"> – because the </w:t>
      </w:r>
      <w:r w:rsidR="00365C18">
        <w:t xml:space="preserve">purposes of each are </w:t>
      </w:r>
      <w:r>
        <w:t>differe</w:t>
      </w:r>
      <w:r w:rsidR="00365C18">
        <w:t>nt</w:t>
      </w:r>
      <w:r>
        <w:t xml:space="preserve">.  Thus, the Forum spent much </w:t>
      </w:r>
      <w:r w:rsidR="004A6E2C">
        <w:t xml:space="preserve">time </w:t>
      </w:r>
      <w:r>
        <w:t>after every assessment explain</w:t>
      </w:r>
      <w:r w:rsidR="004A6E2C">
        <w:t>ing</w:t>
      </w:r>
      <w:r>
        <w:t xml:space="preserve"> </w:t>
      </w:r>
      <w:r w:rsidR="004A6E2C">
        <w:t xml:space="preserve">why </w:t>
      </w:r>
      <w:r>
        <w:t>these measures</w:t>
      </w:r>
      <w:r w:rsidR="004A6E2C">
        <w:t xml:space="preserve"> should be different from those in other reports</w:t>
      </w:r>
      <w:r>
        <w:t xml:space="preserve">.  </w:t>
      </w:r>
    </w:p>
    <w:p w:rsidR="00A4387E" w:rsidRDefault="00CC3B73" w:rsidP="006165FE">
      <w:r>
        <w:t>Because of these issues</w:t>
      </w:r>
      <w:r w:rsidR="004A6E2C">
        <w:t xml:space="preserve"> with the deterministic metrics</w:t>
      </w:r>
      <w:r>
        <w:t xml:space="preserve">, the Forum </w:t>
      </w:r>
      <w:r w:rsidR="004A6E2C">
        <w:t xml:space="preserve">chose to focus on the probabilistic </w:t>
      </w:r>
      <w:r>
        <w:t xml:space="preserve">LOLP </w:t>
      </w:r>
      <w:r w:rsidR="004A6E2C">
        <w:t>metric</w:t>
      </w:r>
      <w:r w:rsidR="00310BD2">
        <w:t xml:space="preserve"> for its latest assessment</w:t>
      </w:r>
      <w:r>
        <w:t xml:space="preserve">.  </w:t>
      </w:r>
      <w:r w:rsidR="00670D2B">
        <w:t xml:space="preserve">However, this was also problematic because there was not just one LOLP </w:t>
      </w:r>
      <w:r w:rsidR="004A6E2C">
        <w:t xml:space="preserve">to calculate </w:t>
      </w:r>
      <w:r w:rsidR="00670D2B">
        <w:t xml:space="preserve">but </w:t>
      </w:r>
      <w:r w:rsidR="004A6E2C">
        <w:t>three</w:t>
      </w:r>
      <w:r w:rsidR="00670D2B">
        <w:t xml:space="preserve">.  LOLP assessments were made for </w:t>
      </w:r>
      <w:r w:rsidR="004A6E2C">
        <w:t xml:space="preserve">winter </w:t>
      </w:r>
      <w:r w:rsidR="00670D2B">
        <w:t xml:space="preserve">energy and capacity </w:t>
      </w:r>
      <w:r w:rsidR="004A6E2C">
        <w:t xml:space="preserve">needs </w:t>
      </w:r>
      <w:r w:rsidR="00670D2B">
        <w:t xml:space="preserve">and for </w:t>
      </w:r>
      <w:r w:rsidR="004A6E2C">
        <w:t>summer capacity needs</w:t>
      </w:r>
      <w:r w:rsidR="00670D2B">
        <w:t xml:space="preserve">.  The current standard </w:t>
      </w:r>
      <w:r w:rsidR="004A6E2C">
        <w:t xml:space="preserve">implies </w:t>
      </w:r>
      <w:r w:rsidR="00670D2B">
        <w:t xml:space="preserve">that as long as all of these LOLP values are 5 percent or less, the power supply is adequate.  Unfortunately, this approach </w:t>
      </w:r>
      <w:r w:rsidR="004A6E2C">
        <w:t xml:space="preserve">is faulty and </w:t>
      </w:r>
      <w:r w:rsidR="00670D2B">
        <w:t xml:space="preserve">could yield false negative results because each LOLP </w:t>
      </w:r>
      <w:r w:rsidR="004A6E2C">
        <w:t xml:space="preserve">value </w:t>
      </w:r>
      <w:r w:rsidR="00670D2B">
        <w:t xml:space="preserve">is assessed independently of the others.  Situations could easily occur when all </w:t>
      </w:r>
      <w:r w:rsidR="004A6E2C">
        <w:t xml:space="preserve">three </w:t>
      </w:r>
      <w:r w:rsidR="00670D2B">
        <w:t xml:space="preserve">LOLP values are less than 5 percent but </w:t>
      </w:r>
      <w:r w:rsidR="00FF3FC5">
        <w:t xml:space="preserve">the overall likelihood of experiencing a problem in either winter or summer is greater than 5 percent.  This happens if winter and summer shortfalls occur in different simulations.  </w:t>
      </w:r>
      <w:r w:rsidR="00310BD2">
        <w:t>T</w:t>
      </w:r>
      <w:r w:rsidR="00670D2B">
        <w:t xml:space="preserve">he Forum now concedes that </w:t>
      </w:r>
      <w:r w:rsidR="00310BD2">
        <w:t xml:space="preserve">using multiple LOLP metrics is faulty and suggests using </w:t>
      </w:r>
      <w:r w:rsidR="00670D2B">
        <w:t>a single annual LOLP value, which identifies both energy and capacity problems.</w:t>
      </w:r>
    </w:p>
    <w:p w:rsidR="00CC3B73" w:rsidRDefault="00A4387E" w:rsidP="006165FE">
      <w:r>
        <w:t xml:space="preserve">Another </w:t>
      </w:r>
      <w:r w:rsidR="00310BD2">
        <w:t xml:space="preserve">concern </w:t>
      </w:r>
      <w:r>
        <w:t xml:space="preserve">with the current standard is that it provides no </w:t>
      </w:r>
      <w:r w:rsidR="00310BD2">
        <w:t xml:space="preserve">indication </w:t>
      </w:r>
      <w:r>
        <w:t xml:space="preserve">of the size of potential problems.  Just knowing the likelihood of curtailment is important but also knowing the size of </w:t>
      </w:r>
      <w:r w:rsidR="00310BD2">
        <w:t>the problem</w:t>
      </w:r>
      <w:r>
        <w:t xml:space="preserve"> can be extremely beneficial to utility planners.  In fact, </w:t>
      </w:r>
      <w:r w:rsidR="00E15F25">
        <w:t xml:space="preserve">the Forum recognizes that </w:t>
      </w:r>
      <w:r>
        <w:t>th</w:t>
      </w:r>
      <w:r w:rsidR="00DD6D92">
        <w:t xml:space="preserve">ere exists a wealth of analytical </w:t>
      </w:r>
      <w:r>
        <w:t xml:space="preserve">data that can be very useful and </w:t>
      </w:r>
      <w:r w:rsidR="00E15F25">
        <w:t>suggests that it be provided along with each annual adequacy assessment</w:t>
      </w:r>
      <w:r>
        <w:t>.</w:t>
      </w:r>
      <w:r w:rsidR="00670D2B">
        <w:t xml:space="preserve">  </w:t>
      </w:r>
    </w:p>
    <w:p w:rsidR="009A007F" w:rsidRDefault="009A007F" w:rsidP="0091421B">
      <w:pPr>
        <w:pStyle w:val="Heading1"/>
      </w:pPr>
      <w:bookmarkStart w:id="7" w:name="_Toc304194267"/>
      <w:r>
        <w:t xml:space="preserve">The </w:t>
      </w:r>
      <w:r w:rsidR="00484E03">
        <w:t xml:space="preserve">Proposed </w:t>
      </w:r>
      <w:r w:rsidR="00ED50C0">
        <w:t xml:space="preserve">New </w:t>
      </w:r>
      <w:r>
        <w:t>Standard</w:t>
      </w:r>
      <w:bookmarkEnd w:id="7"/>
    </w:p>
    <w:p w:rsidR="00273880" w:rsidRDefault="00A4387E">
      <w:r>
        <w:t xml:space="preserve">The Forum’s </w:t>
      </w:r>
      <w:r w:rsidR="00835E75">
        <w:t xml:space="preserve">2011 </w:t>
      </w:r>
      <w:r>
        <w:t>proposed</w:t>
      </w:r>
      <w:r w:rsidR="00835E75">
        <w:t xml:space="preserve"> revisions to the current adequacy</w:t>
      </w:r>
      <w:r>
        <w:t xml:space="preserve"> standard </w:t>
      </w:r>
      <w:r w:rsidR="00835E75">
        <w:t xml:space="preserve">make it </w:t>
      </w:r>
      <w:r>
        <w:t xml:space="preserve">simpler and </w:t>
      </w:r>
      <w:r w:rsidR="00835E75">
        <w:t>more informative</w:t>
      </w:r>
      <w:r>
        <w:t xml:space="preserve">.  It keeps the LOLP as the metric of choice and </w:t>
      </w:r>
      <w:r w:rsidR="00273880">
        <w:t xml:space="preserve">also keeps the 5 percent threshold for adequacy.  However, it differs in many other ways.  The first difference is that the LOLP is now calculated on an annual basis (i.e. every hour of the year is simulated, not just winter and summer periods).  Secondly, capacity and energy shortfalls are counted together (rather than separately </w:t>
      </w:r>
      <w:r w:rsidR="0073068C">
        <w:t xml:space="preserve">as </w:t>
      </w:r>
      <w:r w:rsidR="00273880">
        <w:t xml:space="preserve">in the current standard).  </w:t>
      </w:r>
      <w:r w:rsidR="009F4C23">
        <w:t xml:space="preserve">As before, the assessment will be made </w:t>
      </w:r>
      <w:r w:rsidR="00365C18">
        <w:t xml:space="preserve">three and </w:t>
      </w:r>
      <w:r w:rsidR="009F4C23">
        <w:t xml:space="preserve">five years into the future and will count only existing resources (or those expected to be operational </w:t>
      </w:r>
      <w:r w:rsidR="00DD6D92">
        <w:t xml:space="preserve">within the </w:t>
      </w:r>
      <w:r w:rsidR="0073068C">
        <w:t xml:space="preserve">3 and </w:t>
      </w:r>
      <w:r w:rsidR="00DD6D92">
        <w:t>5-year assessment period</w:t>
      </w:r>
      <w:r w:rsidR="009F4C23">
        <w:t xml:space="preserve">) and expected levels of efficiency gains.  </w:t>
      </w:r>
    </w:p>
    <w:p w:rsidR="00273880" w:rsidRDefault="00273880">
      <w:r>
        <w:lastRenderedPageBreak/>
        <w:t xml:space="preserve">Another difference is that capacity and energy shortfalls are defined differently.  In the current standard, an energy “event” was counted only if the total curtailed energy in the winter or summer period was greater than 28,800 megawatt-hours.  A capacity “event” was counted if any hour’s curtailment in winter or summer exceeded 3,000 megawatts.  These curtailment thresholds were used as a surrogate for </w:t>
      </w:r>
      <w:r w:rsidR="0073068C">
        <w:t>additional actions</w:t>
      </w:r>
      <w:r w:rsidR="00A854AC">
        <w:t xml:space="preserve"> (not modeled in GENESYS)</w:t>
      </w:r>
      <w:r w:rsidR="0073068C">
        <w:t xml:space="preserve"> that the region could take to avoid a shortfall</w:t>
      </w:r>
      <w:r w:rsidR="00A854AC">
        <w:t xml:space="preserve"> during times of stress</w:t>
      </w:r>
      <w:r w:rsidR="0073068C">
        <w:t xml:space="preserve">.  These additional actions include </w:t>
      </w:r>
      <w:r w:rsidR="001D009C">
        <w:t>dispatch</w:t>
      </w:r>
      <w:r w:rsidR="0073068C">
        <w:t>ing</w:t>
      </w:r>
      <w:r w:rsidR="001D009C">
        <w:t xml:space="preserve"> standby resources</w:t>
      </w:r>
      <w:r>
        <w:t xml:space="preserve"> or </w:t>
      </w:r>
      <w:r w:rsidR="0073068C">
        <w:t xml:space="preserve">executing </w:t>
      </w:r>
      <w:r w:rsidR="001A0D11">
        <w:t xml:space="preserve">contractual </w:t>
      </w:r>
      <w:r>
        <w:t xml:space="preserve">load </w:t>
      </w:r>
      <w:r w:rsidR="0073068C">
        <w:t>reduction agreements.</w:t>
      </w:r>
      <w:r>
        <w:t xml:space="preserve">  </w:t>
      </w:r>
    </w:p>
    <w:p w:rsidR="001A0D11" w:rsidRDefault="00273880">
      <w:r>
        <w:t xml:space="preserve">The new standard keeps the idea of </w:t>
      </w:r>
      <w:r w:rsidR="00A854AC">
        <w:t>using additional actions to set the</w:t>
      </w:r>
      <w:r>
        <w:t xml:space="preserve"> threshold</w:t>
      </w:r>
      <w:r w:rsidR="00A854AC">
        <w:t>s</w:t>
      </w:r>
      <w:r>
        <w:t xml:space="preserve"> for counting curtailment events.  However, the </w:t>
      </w:r>
      <w:r w:rsidR="00A854AC">
        <w:t xml:space="preserve">surrogate values are replaced by the actual aggregate </w:t>
      </w:r>
      <w:r w:rsidR="001A0D11">
        <w:t>capabilities</w:t>
      </w:r>
      <w:r w:rsidR="00A854AC">
        <w:t xml:space="preserve"> of these additional actions.  These</w:t>
      </w:r>
      <w:r w:rsidR="001A0D11">
        <w:t xml:space="preserve"> a</w:t>
      </w:r>
      <w:r w:rsidR="00A854AC">
        <w:t xml:space="preserve">dditional actions </w:t>
      </w:r>
      <w:r w:rsidR="001D009C">
        <w:t xml:space="preserve">are </w:t>
      </w:r>
      <w:r w:rsidR="00B97246">
        <w:t xml:space="preserve">divided into two groups. </w:t>
      </w:r>
      <w:r w:rsidR="001A0D11">
        <w:t xml:space="preserve"> </w:t>
      </w:r>
      <w:r w:rsidR="00B97246">
        <w:t xml:space="preserve">The first group reflects </w:t>
      </w:r>
      <w:r w:rsidR="00D63F9C">
        <w:t>demand response</w:t>
      </w:r>
      <w:r w:rsidR="00A854AC">
        <w:t xml:space="preserve"> operations </w:t>
      </w:r>
      <w:r w:rsidR="00B97246">
        <w:t xml:space="preserve">that are commonly used every year but are too small to </w:t>
      </w:r>
      <w:r w:rsidR="00A16D16">
        <w:t xml:space="preserve">be </w:t>
      </w:r>
      <w:r w:rsidR="00B97246">
        <w:t>model</w:t>
      </w:r>
      <w:r w:rsidR="00A16D16">
        <w:t>ed</w:t>
      </w:r>
      <w:r w:rsidR="00B97246">
        <w:t xml:space="preserve"> explicitly in GENESYS.  </w:t>
      </w:r>
      <w:r w:rsidR="00D63F9C">
        <w:t xml:space="preserve">These actions only contribute toward reducing peak-hour demand and, therefore, have no energy component. </w:t>
      </w:r>
      <w:r w:rsidR="001A0D11">
        <w:t xml:space="preserve">.  This first set of additional actions will be referred to as “non-modeled resources.”   </w:t>
      </w:r>
    </w:p>
    <w:p w:rsidR="00B97246" w:rsidRDefault="00B97246">
      <w:r>
        <w:t>The second group</w:t>
      </w:r>
      <w:r w:rsidR="001A0D11">
        <w:t xml:space="preserve"> of additional actions</w:t>
      </w:r>
      <w:r>
        <w:t xml:space="preserve"> contains resources or load management actions that utilities have contractual rights to</w:t>
      </w:r>
      <w:r w:rsidR="00A854AC">
        <w:t xml:space="preserve"> but </w:t>
      </w:r>
      <w:r>
        <w:t xml:space="preserve">are </w:t>
      </w:r>
      <w:r w:rsidR="00A854AC">
        <w:t xml:space="preserve">not </w:t>
      </w:r>
      <w:r>
        <w:t xml:space="preserve">generally used on an annual basis.  </w:t>
      </w:r>
      <w:r w:rsidR="00D63F9C">
        <w:t xml:space="preserve">These resources can have both capacity and energy components.  </w:t>
      </w:r>
      <w:r w:rsidR="001A0D11">
        <w:t xml:space="preserve">This second set of additional actions will be referred to as “standby resources.”   </w:t>
      </w:r>
    </w:p>
    <w:p w:rsidR="00B97246" w:rsidRDefault="00B97246">
      <w:r>
        <w:t xml:space="preserve">Thus, the new standard </w:t>
      </w:r>
      <w:r w:rsidR="001A0D11">
        <w:t xml:space="preserve">is based on </w:t>
      </w:r>
      <w:r>
        <w:t xml:space="preserve">an annual LOLP </w:t>
      </w:r>
      <w:r w:rsidR="001A0D11">
        <w:t xml:space="preserve">calculated </w:t>
      </w:r>
      <w:r>
        <w:t xml:space="preserve">by adding up all simulations in which curtailments exceed the capabilities of </w:t>
      </w:r>
      <w:r w:rsidR="00D63F9C">
        <w:t xml:space="preserve">non-modeled and </w:t>
      </w:r>
      <w:r w:rsidR="001D009C">
        <w:t>standby resources</w:t>
      </w:r>
      <w:r>
        <w:t xml:space="preserve"> and dividing by the total number of simulations.  If the LOLP is 5 percent or less, the power supply is deemed to be adequate.  </w:t>
      </w:r>
    </w:p>
    <w:p w:rsidR="00B97246" w:rsidRDefault="00B97246">
      <w:r>
        <w:t xml:space="preserve">The Forum kept the new standard simple because it wanted keep the function of the adequacy assessment as an early warning (e.g. like a smoke alarm).  </w:t>
      </w:r>
      <w:r w:rsidR="00365C18">
        <w:t xml:space="preserve">The </w:t>
      </w:r>
      <w:r>
        <w:t xml:space="preserve">alarm </w:t>
      </w:r>
      <w:r w:rsidR="00D44554">
        <w:t xml:space="preserve">may </w:t>
      </w:r>
      <w:r>
        <w:t xml:space="preserve">never go off. </w:t>
      </w:r>
      <w:r w:rsidR="00365C18">
        <w:t xml:space="preserve"> </w:t>
      </w:r>
      <w:r>
        <w:t xml:space="preserve">However, should resource development lag, for whatever reason, the alarm should sound and the </w:t>
      </w:r>
      <w:r w:rsidR="0055723C">
        <w:t>appropriate regional entities</w:t>
      </w:r>
      <w:r>
        <w:t xml:space="preserve"> should gather to discuss whether the alarm was justified and, if so, what actions should be taken.  Had this system been in place in the 1990s, the alarm would have sounded in about 1995.</w:t>
      </w:r>
    </w:p>
    <w:p w:rsidR="00A16D16" w:rsidRDefault="00B97246">
      <w:r>
        <w:t xml:space="preserve">However, the Forum also recognizes that a lot of very useful information is provided </w:t>
      </w:r>
      <w:r w:rsidR="00A85E40">
        <w:t>by an adequacy assessment study.  For that reason, the Forum has chosen to provide additional information along with the adequacy assessment.  This additional information is described in more detail below but basically provides statistical data on the frequency, duration</w:t>
      </w:r>
      <w:r w:rsidR="0055723C">
        <w:t>,</w:t>
      </w:r>
      <w:r w:rsidR="00A85E40">
        <w:t xml:space="preserve"> size </w:t>
      </w:r>
      <w:r w:rsidR="0055723C">
        <w:t xml:space="preserve">and timing </w:t>
      </w:r>
      <w:r w:rsidR="00A85E40">
        <w:t xml:space="preserve">of potential problems.  It also provides information regarding the use of </w:t>
      </w:r>
      <w:r w:rsidR="00DD6D92">
        <w:t>standby resources</w:t>
      </w:r>
      <w:r w:rsidR="00FE7080">
        <w:t>, non-firm resources</w:t>
      </w:r>
      <w:r w:rsidR="00DD6D92">
        <w:t xml:space="preserve"> </w:t>
      </w:r>
      <w:r w:rsidR="00A85E40">
        <w:t xml:space="preserve">and the seasonality of shortfalls.  </w:t>
      </w:r>
      <w:r w:rsidR="00D63F9C">
        <w:t>Even if the power supply is deemed to be adequate, t</w:t>
      </w:r>
      <w:r w:rsidR="00A85E40">
        <w:t xml:space="preserve">his additional </w:t>
      </w:r>
      <w:proofErr w:type="gramStart"/>
      <w:r w:rsidR="00A85E40">
        <w:t>information,</w:t>
      </w:r>
      <w:proofErr w:type="gramEnd"/>
      <w:r w:rsidR="00A85E40">
        <w:t xml:space="preserve"> should prove to be very valuable to utility planners.  This additional information will be referred to as the “state of the </w:t>
      </w:r>
      <w:r w:rsidR="00835E75">
        <w:t xml:space="preserve">system </w:t>
      </w:r>
      <w:r w:rsidR="00A85E40">
        <w:t xml:space="preserve">report.”   </w:t>
      </w:r>
    </w:p>
    <w:p w:rsidR="00A16D16" w:rsidRDefault="00A85E40" w:rsidP="00A16D16">
      <w:r>
        <w:lastRenderedPageBreak/>
        <w:t xml:space="preserve"> </w:t>
      </w:r>
      <w:r w:rsidR="00A16D16">
        <w:t>Specifically, the Steering Committee will consider the following policy decisions, which when approved, will be forwarded to the Northwest Power and Conservation Council as the Forum’s recommendations.</w:t>
      </w:r>
    </w:p>
    <w:p w:rsidR="00A16D16" w:rsidRDefault="00A16D16" w:rsidP="00A16D16">
      <w:pPr>
        <w:pStyle w:val="ListParagraph"/>
        <w:numPr>
          <w:ilvl w:val="0"/>
          <w:numId w:val="51"/>
        </w:numPr>
      </w:pPr>
      <w:r>
        <w:t>Keep the current probabilistic methodology, which includes the use of non-firm resources, to assess power supply adequacy.</w:t>
      </w:r>
    </w:p>
    <w:p w:rsidR="00A16D16" w:rsidRDefault="00A16D16" w:rsidP="00A16D16">
      <w:pPr>
        <w:pStyle w:val="ListParagraph"/>
        <w:numPr>
          <w:ilvl w:val="0"/>
          <w:numId w:val="51"/>
        </w:numPr>
      </w:pPr>
      <w:r>
        <w:t>Keep the LOLP as the adequacy metric and keep 5% as its maximum threshold.</w:t>
      </w:r>
    </w:p>
    <w:p w:rsidR="00A16D16" w:rsidRDefault="00A16D16" w:rsidP="00A16D16">
      <w:pPr>
        <w:pStyle w:val="ListParagraph"/>
        <w:numPr>
          <w:ilvl w:val="0"/>
          <w:numId w:val="51"/>
        </w:numPr>
      </w:pPr>
      <w:r>
        <w:t>Remove the seasonal LOLP assessments and instead calculate only one LOLP value for the entire year.</w:t>
      </w:r>
    </w:p>
    <w:p w:rsidR="00A16D16" w:rsidRDefault="00A16D16" w:rsidP="00A16D16">
      <w:pPr>
        <w:pStyle w:val="ListParagraph"/>
        <w:numPr>
          <w:ilvl w:val="0"/>
          <w:numId w:val="51"/>
        </w:numPr>
      </w:pPr>
      <w:r>
        <w:t>Change the assumptions regarding the thresholds used to screen shortfalls.  The new thresholds should only count those non-modeled resources and load management actions that are contractually available.</w:t>
      </w:r>
    </w:p>
    <w:p w:rsidR="008E63E0" w:rsidRDefault="00A16D16">
      <w:pPr>
        <w:pStyle w:val="ListParagraph"/>
        <w:numPr>
          <w:ilvl w:val="0"/>
          <w:numId w:val="51"/>
        </w:numPr>
      </w:pPr>
      <w:r>
        <w:t>Remove the translation of the LOLP measure into deterministic values such as load/resource balance and winter and summer sustained-peak planning margins.</w:t>
      </w:r>
    </w:p>
    <w:p w:rsidR="008E63E0" w:rsidRDefault="008E63E0" w:rsidP="008E63E0">
      <w:pPr>
        <w:pStyle w:val="ListParagraph"/>
        <w:numPr>
          <w:ilvl w:val="0"/>
          <w:numId w:val="51"/>
        </w:numPr>
      </w:pPr>
      <w:r>
        <w:t>Include a state of the system report will all future assessments.</w:t>
      </w:r>
    </w:p>
    <w:p w:rsidR="00A85E40" w:rsidRPr="00A85E40" w:rsidRDefault="00CA37F9" w:rsidP="00782713">
      <w:pPr>
        <w:pStyle w:val="Heading1"/>
      </w:pPr>
      <w:bookmarkStart w:id="8" w:name="_Toc304194268"/>
      <w:r>
        <w:t>“</w:t>
      </w:r>
      <w:r w:rsidR="00A85E40" w:rsidRPr="00A85E40">
        <w:t>State of the System</w:t>
      </w:r>
      <w:r>
        <w:t>”</w:t>
      </w:r>
      <w:r w:rsidR="00A85E40" w:rsidRPr="00A85E40">
        <w:t xml:space="preserve"> Report</w:t>
      </w:r>
      <w:bookmarkEnd w:id="8"/>
    </w:p>
    <w:p w:rsidR="009F4C23" w:rsidRDefault="009F4C23">
      <w:r>
        <w:t>The Forum plans to assess the adequacy of the Northwest’s power supply e</w:t>
      </w:r>
      <w:r w:rsidR="00CA37F9">
        <w:t xml:space="preserve">ach year, determining whether it can adequately provide for our needs through a five year period.  </w:t>
      </w:r>
      <w:r w:rsidR="00B1667B">
        <w:t xml:space="preserve">In addition to that assessment, a state-of-the-system report will be produced, which will include information about the frequency, duration, size and timing of potential shortfalls.  It could also highlight conditions under which major shortfalls occur.  It will also provide statistics on the use of non-firm resources.  Thus, the new standard is designed to be simpler and more informative than the current standard and should prove to be much more useful to regional planners, commissioners, policy makers and other involved parties.  </w:t>
      </w:r>
      <w:r>
        <w:t xml:space="preserve">    </w:t>
      </w:r>
    </w:p>
    <w:p w:rsidR="009F4C23" w:rsidRPr="00543221" w:rsidRDefault="009F4C23" w:rsidP="00782713">
      <w:pPr>
        <w:pStyle w:val="Heading2"/>
      </w:pPr>
      <w:bookmarkStart w:id="9" w:name="_Toc304194269"/>
      <w:r w:rsidRPr="00543221">
        <w:t>Conditional Value at Risk</w:t>
      </w:r>
      <w:bookmarkEnd w:id="9"/>
      <w:r w:rsidRPr="00543221">
        <w:t xml:space="preserve"> </w:t>
      </w:r>
    </w:p>
    <w:p w:rsidR="009F4C23" w:rsidRDefault="009F4C23" w:rsidP="009F4C23">
      <w:r>
        <w:t xml:space="preserve">This metric </w:t>
      </w:r>
      <w:r w:rsidR="00CA37F9">
        <w:t xml:space="preserve">measures the magnitude of curtailment and </w:t>
      </w:r>
      <w:r w:rsidR="00D35A12">
        <w:t>is</w:t>
      </w:r>
      <w:r>
        <w:t xml:space="preserve"> recommended in the peer review of our methodology</w:t>
      </w:r>
      <w:r w:rsidR="00D35A12">
        <w:rPr>
          <w:rStyle w:val="FootnoteReference"/>
        </w:rPr>
        <w:footnoteReference w:id="6"/>
      </w:r>
      <w:r>
        <w:t xml:space="preserve">.  It reflects the </w:t>
      </w:r>
      <w:r w:rsidR="00D35A12">
        <w:t xml:space="preserve">average </w:t>
      </w:r>
      <w:r>
        <w:t xml:space="preserve">magnitude of the worst </w:t>
      </w:r>
      <w:r w:rsidR="00D35A12">
        <w:t xml:space="preserve">potential </w:t>
      </w:r>
      <w:r>
        <w:t xml:space="preserve">curtailments.  </w:t>
      </w:r>
      <w:r w:rsidR="00D35A12">
        <w:t xml:space="preserve">It is calculated by summing up the total curtailed energy (in megawatt-hours) for each simulated year.  This data is then sorted and the total curtailment for the worst 5 percent of simulations is averaged.  As stated in the peer review report, this measure is a coherent </w:t>
      </w:r>
      <w:r w:rsidR="00DD6D92">
        <w:t>measure</w:t>
      </w:r>
      <w:r w:rsidR="00D35A12">
        <w:t xml:space="preserve"> that is easily incorporated into resource planning optimization models (not currently used by the Council). </w:t>
      </w:r>
    </w:p>
    <w:p w:rsidR="00D35A12" w:rsidRDefault="00D35A12" w:rsidP="009F4C23">
      <w:r>
        <w:t xml:space="preserve">An alternative or supplement is to calculate a CVaR measure for the single worst curtailment events. A curtailment event is defined as a series of contiguous hours in which </w:t>
      </w:r>
      <w:r>
        <w:lastRenderedPageBreak/>
        <w:t>demand is not met.  To calculate this variation of CVaR, the largest curtailment event is extracted from each simulated year instead of the total annual curtailment energy.  A second variation is to calculate a CVaR measure for the worst single-hour curtailment.  The process is similar to that for calculating the worst-event CVaR. However, neither of these variations is recommended by the peer review</w:t>
      </w:r>
      <w:r w:rsidR="00FE7080">
        <w:t xml:space="preserve"> and so is not included</w:t>
      </w:r>
      <w:r>
        <w:t xml:space="preserve">.  </w:t>
      </w:r>
    </w:p>
    <w:p w:rsidR="00543221" w:rsidRPr="00543221" w:rsidRDefault="00543221" w:rsidP="00782713">
      <w:pPr>
        <w:pStyle w:val="Heading2"/>
      </w:pPr>
      <w:bookmarkStart w:id="10" w:name="_Toc304194270"/>
      <w:r w:rsidRPr="00543221">
        <w:t>Loss of Load Expectation</w:t>
      </w:r>
      <w:bookmarkEnd w:id="10"/>
      <w:r>
        <w:t xml:space="preserve"> </w:t>
      </w:r>
      <w:r w:rsidR="009F4C23" w:rsidRPr="00543221">
        <w:t xml:space="preserve"> </w:t>
      </w:r>
    </w:p>
    <w:p w:rsidR="00565D8D" w:rsidRDefault="00CA37F9" w:rsidP="009F4C23">
      <w:r>
        <w:t>This metric measures the frequency of curtailments</w:t>
      </w:r>
      <w:r w:rsidR="00EC20D8">
        <w:t xml:space="preserve"> and is </w:t>
      </w:r>
      <w:r w:rsidR="00543221">
        <w:t xml:space="preserve">commonly used </w:t>
      </w:r>
      <w:r w:rsidR="009F4C23">
        <w:t xml:space="preserve">in other parts of the </w:t>
      </w:r>
      <w:r w:rsidR="00543221">
        <w:t xml:space="preserve">United States and the </w:t>
      </w:r>
      <w:r w:rsidR="009F4C23">
        <w:t>world</w:t>
      </w:r>
      <w:r w:rsidR="00EC20D8">
        <w:t>.  Unfortunately,</w:t>
      </w:r>
      <w:r w:rsidR="009F4C23">
        <w:t xml:space="preserve"> </w:t>
      </w:r>
      <w:r w:rsidR="00543221">
        <w:t xml:space="preserve">it </w:t>
      </w:r>
      <w:r w:rsidR="00565D8D">
        <w:t xml:space="preserve">not </w:t>
      </w:r>
      <w:r w:rsidR="00EC20D8">
        <w:t xml:space="preserve">always </w:t>
      </w:r>
      <w:r w:rsidR="00565D8D">
        <w:t>well defined</w:t>
      </w:r>
      <w:r w:rsidR="00543221">
        <w:t xml:space="preserve">.  In principle it calculates the expected number of hours of curtailment per year.  </w:t>
      </w:r>
      <w:r w:rsidR="00565D8D">
        <w:t>However, many regions use different sets of random variables (future uncertainties) to calculate LOLE.  A region that only uses forced outages to calculate LOLE cannot properly compare its value to another region</w:t>
      </w:r>
      <w:r w:rsidR="00EC20D8">
        <w:t>’s LOLE</w:t>
      </w:r>
      <w:r w:rsidR="00565D8D">
        <w:t xml:space="preserve"> that includes </w:t>
      </w:r>
      <w:r w:rsidR="00EC20D8">
        <w:t xml:space="preserve">a different set of random variables in its simulation.  </w:t>
      </w:r>
      <w:r w:rsidR="00565D8D">
        <w:t xml:space="preserve">In the Northwest, </w:t>
      </w:r>
      <w:r w:rsidR="00EC20D8">
        <w:t xml:space="preserve">for example, </w:t>
      </w:r>
      <w:r w:rsidR="00ED1DAC">
        <w:t>water supply, temperature, forced outage</w:t>
      </w:r>
      <w:r w:rsidR="005B428E">
        <w:t>s</w:t>
      </w:r>
      <w:r w:rsidR="00ED1DAC">
        <w:t xml:space="preserve"> and wind generation are </w:t>
      </w:r>
      <w:r w:rsidR="005B428E">
        <w:t xml:space="preserve">modeled as </w:t>
      </w:r>
      <w:r w:rsidR="00ED1DAC">
        <w:t xml:space="preserve">future uncertainties.  </w:t>
      </w:r>
      <w:r w:rsidR="00565D8D">
        <w:t xml:space="preserve"> </w:t>
      </w:r>
    </w:p>
    <w:p w:rsidR="00543221" w:rsidRDefault="005B428E" w:rsidP="009F4C23">
      <w:r>
        <w:t xml:space="preserve">The common LOLE threshold </w:t>
      </w:r>
      <w:r w:rsidR="00EC20D8">
        <w:t>used to define</w:t>
      </w:r>
      <w:r>
        <w:t xml:space="preserve"> an adequate supply is one day in ten years, meaning that </w:t>
      </w:r>
      <w:r w:rsidR="001A48B2">
        <w:t>in a ten-</w:t>
      </w:r>
      <w:r>
        <w:t>year study, no more than one day can show a failure to meet demand.  However, this threshold is also commonly misinterpreted.  Sin</w:t>
      </w:r>
      <w:r w:rsidR="001A48B2">
        <w:t>ce most utilities now do single-</w:t>
      </w:r>
      <w:r>
        <w:t>year analysis, the one-day-in-ten-year threshold has been redefined as 2.4 hours per year</w:t>
      </w:r>
      <w:r w:rsidR="00EC20D8">
        <w:t xml:space="preserve"> by many regions</w:t>
      </w:r>
      <w:r>
        <w:t xml:space="preserve">.  </w:t>
      </w:r>
      <w:r w:rsidR="00565D8D">
        <w:t>In the Forum’s opinion, th</w:t>
      </w:r>
      <w:r>
        <w:t>is re</w:t>
      </w:r>
      <w:r w:rsidR="00565D8D">
        <w:t xml:space="preserve">definition is not </w:t>
      </w:r>
      <w:r>
        <w:t>equivalent to the one-day-in-ten-year threshold</w:t>
      </w:r>
      <w:r w:rsidR="00D72710">
        <w:t xml:space="preserve"> – b</w:t>
      </w:r>
      <w:r>
        <w:t xml:space="preserve">ecause to make them equal, </w:t>
      </w:r>
      <w:r w:rsidR="00565D8D">
        <w:t>the “one day” would have to show curtailments for</w:t>
      </w:r>
      <w:r>
        <w:t xml:space="preserve"> all 24 hours.    </w:t>
      </w:r>
      <w:r w:rsidR="00543221">
        <w:t xml:space="preserve"> </w:t>
      </w:r>
    </w:p>
    <w:p w:rsidR="00D72710" w:rsidRDefault="00565D8D" w:rsidP="009F4C23">
      <w:r>
        <w:t xml:space="preserve">Nonetheless, </w:t>
      </w:r>
      <w:r w:rsidR="00D72710">
        <w:t xml:space="preserve">the </w:t>
      </w:r>
      <w:r w:rsidR="00EC20D8">
        <w:t>recommendation is to</w:t>
      </w:r>
      <w:r w:rsidR="00D72710">
        <w:t xml:space="preserve"> report an LOLE value for the Northwest’s power supply.  T</w:t>
      </w:r>
      <w:r w:rsidR="001A48B2">
        <w:t>he</w:t>
      </w:r>
      <w:r w:rsidR="00D72710">
        <w:t xml:space="preserve"> </w:t>
      </w:r>
      <w:r w:rsidR="001A48B2">
        <w:t xml:space="preserve">suggested </w:t>
      </w:r>
      <w:r w:rsidR="00D72710">
        <w:t>calcul</w:t>
      </w:r>
      <w:r w:rsidR="00EC20D8">
        <w:t xml:space="preserve">ation is </w:t>
      </w:r>
      <w:r w:rsidR="001A48B2">
        <w:t>to take t</w:t>
      </w:r>
      <w:r w:rsidR="00D72710">
        <w:t xml:space="preserve">he total number of hours of curtailment </w:t>
      </w:r>
      <w:r w:rsidR="001A48B2">
        <w:t xml:space="preserve">and </w:t>
      </w:r>
      <w:r w:rsidR="00D72710">
        <w:t xml:space="preserve">divide by the </w:t>
      </w:r>
      <w:r>
        <w:t xml:space="preserve">total number of </w:t>
      </w:r>
      <w:r w:rsidR="001A48B2">
        <w:t>years</w:t>
      </w:r>
      <w:r>
        <w:t xml:space="preserve"> simulated</w:t>
      </w:r>
      <w:r w:rsidR="00D72710">
        <w:t xml:space="preserve">.  The question remains, however, whether the </w:t>
      </w:r>
      <w:r w:rsidR="001A48B2">
        <w:t>2.4-</w:t>
      </w:r>
      <w:r w:rsidR="00D72710">
        <w:t>hour</w:t>
      </w:r>
      <w:r w:rsidR="00EC20D8">
        <w:t>s</w:t>
      </w:r>
      <w:r w:rsidR="001A48B2">
        <w:t>-per-</w:t>
      </w:r>
      <w:r w:rsidR="00D72710">
        <w:t xml:space="preserve">year threshold should apply to the Northwest because additional random variables are used in our simulation.  The Forum recommends that this issue be discussed </w:t>
      </w:r>
      <w:r w:rsidR="00EC20D8">
        <w:t xml:space="preserve">in more detail </w:t>
      </w:r>
      <w:r w:rsidR="00D72710">
        <w:t xml:space="preserve">at national forums.  </w:t>
      </w:r>
    </w:p>
    <w:p w:rsidR="00D72710" w:rsidRPr="00D72710" w:rsidRDefault="00D72710" w:rsidP="00782713">
      <w:pPr>
        <w:pStyle w:val="Heading2"/>
      </w:pPr>
      <w:bookmarkStart w:id="11" w:name="_Toc304194271"/>
      <w:r>
        <w:t>Expected Unserved Energy</w:t>
      </w:r>
      <w:bookmarkEnd w:id="11"/>
      <w:r>
        <w:t xml:space="preserve"> </w:t>
      </w:r>
    </w:p>
    <w:p w:rsidR="00C42F4D" w:rsidRDefault="00EC20D8" w:rsidP="009F4C23">
      <w:r>
        <w:t>This metric measures the size of curtailment.  As with the LOLE, the EUE i</w:t>
      </w:r>
      <w:r w:rsidR="001A48B2">
        <w:t>s also commonly used across the country</w:t>
      </w:r>
      <w:r>
        <w:t xml:space="preserve">.  </w:t>
      </w:r>
      <w:r w:rsidR="00C42F4D">
        <w:t xml:space="preserve">To calculate EUE for the Northwest, the total amount of unserved load (in megawatt-hours) over all simulations is divided by the number of simulations. This yields the average amount of </w:t>
      </w:r>
      <w:r>
        <w:t>annual energy shortfall</w:t>
      </w:r>
      <w:r w:rsidR="00C42F4D">
        <w:t xml:space="preserve">.  </w:t>
      </w:r>
    </w:p>
    <w:p w:rsidR="009F4C23" w:rsidRDefault="009F4C23" w:rsidP="009F4C23">
      <w:r>
        <w:t xml:space="preserve">A variation </w:t>
      </w:r>
      <w:r w:rsidR="00C42F4D">
        <w:t xml:space="preserve">of this metric </w:t>
      </w:r>
      <w:r>
        <w:t xml:space="preserve">is to normalize </w:t>
      </w:r>
      <w:r w:rsidR="00C42F4D">
        <w:t>it by dividing</w:t>
      </w:r>
      <w:r>
        <w:t xml:space="preserve"> </w:t>
      </w:r>
      <w:r w:rsidR="00F36EF1">
        <w:t xml:space="preserve">the EUE </w:t>
      </w:r>
      <w:r>
        <w:t xml:space="preserve">by the expected load, which yields </w:t>
      </w:r>
      <w:r w:rsidR="00F36EF1">
        <w:t>the</w:t>
      </w:r>
      <w:r>
        <w:t xml:space="preserve"> </w:t>
      </w:r>
      <w:r w:rsidR="00FE7080">
        <w:t xml:space="preserve">average </w:t>
      </w:r>
      <w:r>
        <w:t>percentage of load that is expected not to be served.  As with the LOLE</w:t>
      </w:r>
      <w:r w:rsidR="00F36EF1">
        <w:t xml:space="preserve"> metric</w:t>
      </w:r>
      <w:r>
        <w:t xml:space="preserve">, </w:t>
      </w:r>
      <w:r w:rsidR="00310603">
        <w:t>comparing</w:t>
      </w:r>
      <w:r>
        <w:t xml:space="preserve"> </w:t>
      </w:r>
      <w:r w:rsidR="00F36EF1">
        <w:t>EUE</w:t>
      </w:r>
      <w:r>
        <w:t xml:space="preserve"> </w:t>
      </w:r>
      <w:r w:rsidR="00310603">
        <w:t xml:space="preserve">measures across regions </w:t>
      </w:r>
      <w:r>
        <w:t xml:space="preserve">could be problematic </w:t>
      </w:r>
      <w:r w:rsidR="00310603">
        <w:t xml:space="preserve">because of the same issues, namely the number and types of random variables used.  </w:t>
      </w:r>
      <w:r w:rsidR="00F36EF1">
        <w:t xml:space="preserve">  </w:t>
      </w:r>
      <w:r>
        <w:t xml:space="preserve"> </w:t>
      </w:r>
    </w:p>
    <w:p w:rsidR="00F36EF1" w:rsidRPr="00F36EF1" w:rsidRDefault="00F36EF1" w:rsidP="00782713">
      <w:pPr>
        <w:pStyle w:val="Heading2"/>
      </w:pPr>
      <w:bookmarkStart w:id="12" w:name="_Toc304194272"/>
      <w:r>
        <w:t>Expected Use of Standby Resources</w:t>
      </w:r>
      <w:bookmarkEnd w:id="12"/>
      <w:r>
        <w:t xml:space="preserve"> </w:t>
      </w:r>
    </w:p>
    <w:p w:rsidR="00CC6AF5" w:rsidRDefault="00F36EF1" w:rsidP="009F4C23">
      <w:r>
        <w:lastRenderedPageBreak/>
        <w:t>This is a newly defined metric that measures how often standby res</w:t>
      </w:r>
      <w:r w:rsidR="00310603">
        <w:t xml:space="preserve">ources are likely to be used.  </w:t>
      </w:r>
      <w:r>
        <w:t xml:space="preserve">Standby resources </w:t>
      </w:r>
      <w:r w:rsidR="0009775D">
        <w:t>are</w:t>
      </w:r>
      <w:r>
        <w:t xml:space="preserve"> resources or load management actions that utilities have contractual </w:t>
      </w:r>
      <w:r w:rsidR="0009775D">
        <w:t>rights to</w:t>
      </w:r>
      <w:r w:rsidR="00925F87">
        <w:t xml:space="preserve"> and are used only during times of stress to avoid shortfalls</w:t>
      </w:r>
      <w:r>
        <w:t xml:space="preserve">.  </w:t>
      </w:r>
      <w:r w:rsidR="00925F87">
        <w:t>The Expected use of standby resources metric or EUSR is</w:t>
      </w:r>
      <w:r w:rsidR="0009775D">
        <w:t xml:space="preserve"> </w:t>
      </w:r>
      <w:r>
        <w:t xml:space="preserve">the number of simulations in which </w:t>
      </w:r>
      <w:r w:rsidR="0009775D">
        <w:t>standby resource</w:t>
      </w:r>
      <w:r w:rsidR="00925F87">
        <w:t>s</w:t>
      </w:r>
      <w:r w:rsidR="0009775D">
        <w:t xml:space="preserve"> </w:t>
      </w:r>
      <w:r w:rsidR="00925F87">
        <w:t xml:space="preserve">are </w:t>
      </w:r>
      <w:r>
        <w:t xml:space="preserve">used </w:t>
      </w:r>
      <w:r w:rsidR="0009775D">
        <w:t xml:space="preserve">is divided by the total number of simulations.  </w:t>
      </w:r>
      <w:r w:rsidR="009F4C23">
        <w:t xml:space="preserve"> </w:t>
      </w:r>
      <w:r w:rsidR="00925F87">
        <w:t xml:space="preserve">It is an LOLP type of metric but will always be larger than the LOLP (assuming that standby resources exist).  </w:t>
      </w:r>
    </w:p>
    <w:p w:rsidR="00CC6AF5" w:rsidRPr="00CC6AF5" w:rsidRDefault="00CC6AF5" w:rsidP="00782713">
      <w:pPr>
        <w:pStyle w:val="Heading2"/>
      </w:pPr>
      <w:bookmarkStart w:id="13" w:name="_Toc304194273"/>
      <w:r w:rsidRPr="00CC6AF5">
        <w:t>Expected Use of Non-firm Resources</w:t>
      </w:r>
      <w:bookmarkEnd w:id="13"/>
      <w:r>
        <w:t xml:space="preserve"> </w:t>
      </w:r>
    </w:p>
    <w:p w:rsidR="003369DA" w:rsidRDefault="003369DA" w:rsidP="009F4C23">
      <w:r>
        <w:t xml:space="preserve">The Forum also recommends providing </w:t>
      </w:r>
      <w:r w:rsidR="00CC6AF5">
        <w:t>statistics on the use of non-firm resources.  Non-firm resources include independent power producers within the region</w:t>
      </w:r>
      <w:r>
        <w:t xml:space="preserve">, </w:t>
      </w:r>
      <w:r w:rsidR="00CC6AF5">
        <w:t>out-of-region market supplies</w:t>
      </w:r>
      <w:r>
        <w:t xml:space="preserve"> and the use of “borrowed hydro” (water below drafting rights elevations that is used for short periods and then replaced)</w:t>
      </w:r>
      <w:r w:rsidR="00CC6AF5">
        <w:t xml:space="preserve">.  </w:t>
      </w:r>
    </w:p>
    <w:p w:rsidR="009F4C23" w:rsidRDefault="003369DA" w:rsidP="009F4C23">
      <w:r>
        <w:t xml:space="preserve">At this time it is not clear how much of this statistical information will prove to be helpful.  However, as a starting point, </w:t>
      </w:r>
      <w:r w:rsidR="000C08B5">
        <w:t xml:space="preserve">the Forum will report </w:t>
      </w:r>
      <w:r>
        <w:t>the expected annual and monthly use of these resources</w:t>
      </w:r>
      <w:r w:rsidR="000C08B5">
        <w:t xml:space="preserve">.  If necessary, probability duration curves, which show the range of use for these resources, can also be reported.   </w:t>
      </w:r>
      <w:r w:rsidR="00132B76">
        <w:t xml:space="preserve"> </w:t>
      </w:r>
      <w:r w:rsidR="009F4C23">
        <w:t xml:space="preserve">  </w:t>
      </w:r>
    </w:p>
    <w:p w:rsidR="00132B76" w:rsidRPr="00132B76" w:rsidRDefault="00132B76" w:rsidP="00782713">
      <w:pPr>
        <w:pStyle w:val="Heading2"/>
      </w:pPr>
      <w:bookmarkStart w:id="14" w:name="_Toc304194274"/>
      <w:r w:rsidRPr="00132B76">
        <w:t>Curtailment Statistics</w:t>
      </w:r>
      <w:bookmarkEnd w:id="14"/>
    </w:p>
    <w:p w:rsidR="00132B76" w:rsidRDefault="00132B76" w:rsidP="009F4C23">
      <w:r>
        <w:t xml:space="preserve">The Forum </w:t>
      </w:r>
      <w:r w:rsidR="000C08B5">
        <w:t xml:space="preserve">will also provide </w:t>
      </w:r>
      <w:r>
        <w:t>statistical information regarding curtailment events (</w:t>
      </w:r>
      <w:r w:rsidR="000C08B5">
        <w:t xml:space="preserve">as </w:t>
      </w:r>
      <w:r>
        <w:t>defined above).  The recommended information may include;</w:t>
      </w:r>
    </w:p>
    <w:p w:rsidR="00132B76" w:rsidRDefault="00132B76" w:rsidP="00132B76">
      <w:pPr>
        <w:pStyle w:val="ListParagraph"/>
        <w:numPr>
          <w:ilvl w:val="0"/>
          <w:numId w:val="49"/>
        </w:numPr>
      </w:pPr>
      <w:r>
        <w:t>Frequency of events (events/year)</w:t>
      </w:r>
    </w:p>
    <w:p w:rsidR="00132B76" w:rsidRDefault="00132B76" w:rsidP="00132B76">
      <w:pPr>
        <w:pStyle w:val="ListParagraph"/>
        <w:numPr>
          <w:ilvl w:val="0"/>
          <w:numId w:val="49"/>
        </w:numPr>
      </w:pPr>
      <w:r>
        <w:t>Average magnitude of events (megawatt-hours)</w:t>
      </w:r>
    </w:p>
    <w:p w:rsidR="00132B76" w:rsidRDefault="00132B76" w:rsidP="00132B76">
      <w:pPr>
        <w:pStyle w:val="ListParagraph"/>
        <w:numPr>
          <w:ilvl w:val="0"/>
          <w:numId w:val="49"/>
        </w:numPr>
      </w:pPr>
      <w:r>
        <w:t xml:space="preserve">Average duration of events (hours) </w:t>
      </w:r>
    </w:p>
    <w:p w:rsidR="00132B76" w:rsidRDefault="00132B76" w:rsidP="00132B76">
      <w:r>
        <w:t xml:space="preserve">The information above </w:t>
      </w:r>
      <w:r w:rsidR="00365C18">
        <w:t>will</w:t>
      </w:r>
      <w:r>
        <w:t xml:space="preserve"> be based on </w:t>
      </w:r>
      <w:r w:rsidR="000C08B5">
        <w:t>“</w:t>
      </w:r>
      <w:r>
        <w:t>raw</w:t>
      </w:r>
      <w:r w:rsidR="000C08B5">
        <w:t>”</w:t>
      </w:r>
      <w:r>
        <w:t xml:space="preserve"> curtailment events, in other words, </w:t>
      </w:r>
      <w:r w:rsidR="000C08B5">
        <w:t xml:space="preserve">curtailment is </w:t>
      </w:r>
      <w:r w:rsidRPr="000C08B5">
        <w:rPr>
          <w:b/>
          <w:i/>
        </w:rPr>
        <w:t>not</w:t>
      </w:r>
      <w:r>
        <w:t xml:space="preserve"> reduced by the capability of standby resources.  However, the same type of information can be provided for events that have been adjusted by subtracting standby resource capabilities.  </w:t>
      </w:r>
    </w:p>
    <w:p w:rsidR="00132B76" w:rsidRPr="00CC6AF5" w:rsidRDefault="00132B76" w:rsidP="00782713">
      <w:pPr>
        <w:pStyle w:val="Heading2"/>
      </w:pPr>
      <w:bookmarkStart w:id="15" w:name="_Toc304194275"/>
      <w:r>
        <w:t>Monthly Statistics</w:t>
      </w:r>
      <w:bookmarkEnd w:id="15"/>
    </w:p>
    <w:p w:rsidR="00943C4D" w:rsidRDefault="00132B76" w:rsidP="00132B76">
      <w:r>
        <w:t xml:space="preserve">The Forum </w:t>
      </w:r>
      <w:r w:rsidR="000C08B5">
        <w:t xml:space="preserve">will also provide a number of </w:t>
      </w:r>
      <w:r>
        <w:t>monthly statistical v</w:t>
      </w:r>
      <w:r w:rsidR="00943C4D">
        <w:t xml:space="preserve">alues, especially </w:t>
      </w:r>
      <w:r w:rsidR="000C08B5">
        <w:t xml:space="preserve">for </w:t>
      </w:r>
      <w:r w:rsidR="00943C4D">
        <w:t xml:space="preserve">LOLP, EUSR and </w:t>
      </w:r>
      <w:r w:rsidR="000C08B5">
        <w:t xml:space="preserve">the </w:t>
      </w:r>
      <w:r w:rsidR="00943C4D">
        <w:t>expected use of non-firm resources</w:t>
      </w:r>
      <w:r>
        <w:t xml:space="preserve">.  </w:t>
      </w:r>
      <w:r w:rsidR="00943C4D">
        <w:t>M</w:t>
      </w:r>
      <w:r>
        <w:t>onthly values are</w:t>
      </w:r>
      <w:r w:rsidR="00943C4D">
        <w:t xml:space="preserve"> calculated in the same manner as</w:t>
      </w:r>
      <w:r>
        <w:t xml:space="preserve"> annual values</w:t>
      </w:r>
      <w:r w:rsidR="00943C4D">
        <w:t xml:space="preserve">.  For example, the monthly LOLP value for January is calculated by adding up the total number </w:t>
      </w:r>
      <w:r w:rsidR="000C08B5">
        <w:t xml:space="preserve">simulated </w:t>
      </w:r>
      <w:r w:rsidR="00943C4D">
        <w:t>Januarys that had curtailment (in excess of the standby resource</w:t>
      </w:r>
      <w:r w:rsidR="00CC73B5">
        <w:t xml:space="preserve"> capability</w:t>
      </w:r>
      <w:r w:rsidR="00943C4D">
        <w:t xml:space="preserve">) and dividing by the total number of Januarys simulated. </w:t>
      </w:r>
    </w:p>
    <w:p w:rsidR="00CC73B5" w:rsidRDefault="00CC73B5" w:rsidP="00132B76">
      <w:r>
        <w:t xml:space="preserve">Non-modeled small resources and standby resources have limited capabilities that can be “used up” prior to the end of the operating year.  The raw curtailment record produced by GENESYS will be adjusted to account for the use of non-modeled resources by dispatching </w:t>
      </w:r>
      <w:r>
        <w:lastRenderedPageBreak/>
        <w:t xml:space="preserve">them as needed beginning in October (start of the operating year).  The same assumption is made for standby resources.  Once the capabilities of these resources are used up, they are no longer available to help out during periods of shortfall.  Thus, we may see higher impacts to summer months, especially if these resources were dispatched during the winter.  </w:t>
      </w:r>
    </w:p>
    <w:p w:rsidR="000D3AAB" w:rsidRPr="00A4387E" w:rsidRDefault="000C08B5" w:rsidP="001D3D1E">
      <w:r>
        <w:t xml:space="preserve">Another issue regarding monthly statistics is that all chronological links </w:t>
      </w:r>
      <w:r w:rsidR="00BF2FE6">
        <w:t xml:space="preserve">across months </w:t>
      </w:r>
      <w:r>
        <w:t xml:space="preserve">will be lost. In other words, monthly </w:t>
      </w:r>
      <w:r w:rsidR="00BF2FE6">
        <w:t>statistics</w:t>
      </w:r>
      <w:r>
        <w:t xml:space="preserve"> will be based on </w:t>
      </w:r>
      <w:r w:rsidR="00BF2FE6">
        <w:t xml:space="preserve">each month’s simulation results independent of other month’s results.  </w:t>
      </w:r>
      <w:r>
        <w:t>Thus, although a monthly report (or graph) will help identify periods of the year that are more susceptib</w:t>
      </w:r>
      <w:r w:rsidR="00BF2FE6">
        <w:t xml:space="preserve">le to curtailments, it will have no mathematical connection to the annual values.  In a sense, it will show a non-realistic “picture” of the adequacy of the power supply because the worst curtailments for each month do not all occur in the same year. Nonetheless, it is a report (using proper caveats) that </w:t>
      </w:r>
      <w:r w:rsidR="003D771A">
        <w:t xml:space="preserve">the </w:t>
      </w:r>
      <w:r w:rsidR="00BF2FE6">
        <w:t xml:space="preserve">Forum believes will be very informative to planners.  </w:t>
      </w:r>
    </w:p>
    <w:p w:rsidR="001D3D1E" w:rsidRDefault="001D3D1E">
      <w:pPr>
        <w:rPr>
          <w:b/>
          <w:bCs/>
          <w:sz w:val="28"/>
          <w:szCs w:val="28"/>
        </w:rPr>
      </w:pPr>
      <w:r>
        <w:br w:type="page"/>
      </w:r>
    </w:p>
    <w:p w:rsidR="00DE0688" w:rsidRDefault="00DE0688" w:rsidP="00782713">
      <w:pPr>
        <w:pStyle w:val="Heading1"/>
      </w:pPr>
      <w:bookmarkStart w:id="16" w:name="_Toc304194276"/>
      <w:r w:rsidRPr="00031587">
        <w:lastRenderedPageBreak/>
        <w:t>Appendix A</w:t>
      </w:r>
      <w:r w:rsidR="00782713">
        <w:t xml:space="preserve"> – Current Assumptions</w:t>
      </w:r>
      <w:bookmarkEnd w:id="16"/>
    </w:p>
    <w:p w:rsidR="00CF61B9" w:rsidRDefault="00CF61B9" w:rsidP="00782713">
      <w:pPr>
        <w:rPr>
          <w:b/>
        </w:rPr>
      </w:pPr>
    </w:p>
    <w:p w:rsidR="00DE0688" w:rsidRPr="00782713" w:rsidRDefault="00F27CD1" w:rsidP="00782713">
      <w:pPr>
        <w:rPr>
          <w:b/>
        </w:rPr>
      </w:pPr>
      <w:r w:rsidRPr="00782713">
        <w:rPr>
          <w:b/>
        </w:rPr>
        <w:t xml:space="preserve">Firm </w:t>
      </w:r>
      <w:r w:rsidR="004E5844" w:rsidRPr="00782713">
        <w:rPr>
          <w:b/>
        </w:rPr>
        <w:t xml:space="preserve">Generating </w:t>
      </w:r>
      <w:r w:rsidRPr="00782713">
        <w:rPr>
          <w:b/>
        </w:rPr>
        <w:t>Resources</w:t>
      </w:r>
    </w:p>
    <w:p w:rsidR="00F27CD1" w:rsidRPr="00F27CD1" w:rsidRDefault="00F27CD1" w:rsidP="003D771A">
      <w:r>
        <w:t xml:space="preserve">All </w:t>
      </w:r>
      <w:r w:rsidR="004E5844">
        <w:t xml:space="preserve">existing </w:t>
      </w:r>
      <w:r>
        <w:t>regionally owned or operated generating resources</w:t>
      </w:r>
      <w:r w:rsidR="004E5844">
        <w:t xml:space="preserve"> and those that are expected to be operational in the year being assessed.</w:t>
      </w:r>
    </w:p>
    <w:p w:rsidR="004E5844" w:rsidRPr="00782713" w:rsidRDefault="004E5844" w:rsidP="00782713">
      <w:pPr>
        <w:rPr>
          <w:b/>
        </w:rPr>
      </w:pPr>
      <w:r w:rsidRPr="00782713">
        <w:rPr>
          <w:b/>
        </w:rPr>
        <w:t>Wind</w:t>
      </w:r>
    </w:p>
    <w:p w:rsidR="004E5844" w:rsidRDefault="004E5844" w:rsidP="003D771A">
      <w:r>
        <w:t xml:space="preserve">Wind capacity factors are currently based on historic BPA wind fleet data from 2008 through 2010. </w:t>
      </w:r>
      <w:r w:rsidR="00365C18">
        <w:t xml:space="preserve">For the Monte Carlo simulation in GENESYS, wind years are chosen at random among the three historical annual data sets.  </w:t>
      </w:r>
      <w:r>
        <w:t>Work is ongoing to develop a temperature-correlated synthetic data set.</w:t>
      </w:r>
    </w:p>
    <w:p w:rsidR="004E5844" w:rsidRPr="00782713" w:rsidRDefault="004E5844" w:rsidP="00782713">
      <w:pPr>
        <w:rPr>
          <w:b/>
        </w:rPr>
      </w:pPr>
      <w:r w:rsidRPr="00782713">
        <w:rPr>
          <w:b/>
        </w:rPr>
        <w:t>Conservation</w:t>
      </w:r>
    </w:p>
    <w:p w:rsidR="004E5844" w:rsidRDefault="004E5844" w:rsidP="003D771A">
      <w:r>
        <w:t xml:space="preserve">The Council’s expected level of efficiency improvements (as reported in its power plan) for the year being assessed.  </w:t>
      </w:r>
    </w:p>
    <w:p w:rsidR="00D63F9C" w:rsidRPr="00D63F9C" w:rsidRDefault="00D63F9C" w:rsidP="003D771A">
      <w:pPr>
        <w:rPr>
          <w:b/>
        </w:rPr>
      </w:pPr>
      <w:r w:rsidRPr="00D63F9C">
        <w:rPr>
          <w:b/>
        </w:rPr>
        <w:t>Non-modeled Resources</w:t>
      </w:r>
    </w:p>
    <w:p w:rsidR="00D63F9C" w:rsidRDefault="009A1E4C" w:rsidP="003D771A">
      <w:r>
        <w:t>Non-modeled resources are demand response actions that utilities are anticipating to use on an annual basis to reduce their peak hour load.  Current assumptions include 120 megawatts of capacity reduction for summer and 60 megawatts for winter.</w:t>
      </w:r>
    </w:p>
    <w:p w:rsidR="004E5844" w:rsidRPr="00782713" w:rsidRDefault="004E5844" w:rsidP="00782713">
      <w:pPr>
        <w:rPr>
          <w:b/>
        </w:rPr>
      </w:pPr>
      <w:r w:rsidRPr="00782713">
        <w:rPr>
          <w:b/>
        </w:rPr>
        <w:t>Standby Resources</w:t>
      </w:r>
    </w:p>
    <w:p w:rsidR="004E5844" w:rsidRPr="00782713" w:rsidRDefault="009A1E4C" w:rsidP="00782713">
      <w:pPr>
        <w:rPr>
          <w:b/>
        </w:rPr>
      </w:pPr>
      <w:r>
        <w:t xml:space="preserve">Standby resources are resources or load management actions that utilities have contractual rights to but are not expected to be used commonly.  Current assumptions include 602 megawatts of peak hour capacity reduction and 83,000 megawatt-hours of energy.  </w:t>
      </w:r>
      <w:r w:rsidR="004E5844" w:rsidRPr="00782713">
        <w:rPr>
          <w:b/>
        </w:rPr>
        <w:t>Out-of-region Market Supply</w:t>
      </w:r>
    </w:p>
    <w:p w:rsidR="004E5844" w:rsidRPr="00782713" w:rsidRDefault="009A1E4C" w:rsidP="00782713">
      <w:pPr>
        <w:rPr>
          <w:b/>
        </w:rPr>
      </w:pPr>
      <w:r>
        <w:t xml:space="preserve">Out-of-region purchases can be made during on-peak hours or during light load hours, in anticipation of need over the next day or two.  Current assumptions are that 3,000 megawatts of market supply is available during on-peak hours in winter months but none during summer.  The use of off-peak purchases is still being debated.   </w:t>
      </w:r>
      <w:r w:rsidR="004E5844" w:rsidRPr="00782713">
        <w:rPr>
          <w:b/>
        </w:rPr>
        <w:t>In-region Market Supply</w:t>
      </w:r>
    </w:p>
    <w:p w:rsidR="004E5844" w:rsidRPr="004E5844" w:rsidRDefault="004E5844" w:rsidP="003D771A">
      <w:r>
        <w:t xml:space="preserve">The in-region market supply is made up of independent power producers (IPP).  The operation of these resources is modeled explicitly but they are dispatched at market prices.  During October through May they are fully available to meet regional demand but during June through September only 1,000 megawatts of their capability is available for regional use.  </w:t>
      </w:r>
    </w:p>
    <w:p w:rsidR="004E5844" w:rsidRPr="00782713" w:rsidRDefault="004E5844" w:rsidP="00782713">
      <w:pPr>
        <w:rPr>
          <w:b/>
        </w:rPr>
      </w:pPr>
      <w:bookmarkStart w:id="17" w:name="_Toc220760704"/>
      <w:bookmarkStart w:id="18" w:name="_Toc220760806"/>
      <w:bookmarkStart w:id="19" w:name="_Toc220761077"/>
      <w:r w:rsidRPr="00782713">
        <w:rPr>
          <w:b/>
        </w:rPr>
        <w:lastRenderedPageBreak/>
        <w:t>Borrowed Hydro</w:t>
      </w:r>
    </w:p>
    <w:p w:rsidR="00782713" w:rsidRDefault="004E5844">
      <w:r>
        <w:t xml:space="preserve">Borrowed hydro is energy derived by drafting projects below their drafting rights elevations for short periods of time. This additional draft is then replaced as soon as possible, usually within the month.  </w:t>
      </w:r>
      <w:r w:rsidR="006E54E5">
        <w:t xml:space="preserve">The current monthly limit for borrowed hydro use is 1,000 megawatt-months.  This level of borrowed hydro does not affect biological opinion refill targets in April and appears to not affect providing minimum flows for Chum salmon. (This latter issue is still being assessed.) </w:t>
      </w:r>
    </w:p>
    <w:p w:rsidR="00782713" w:rsidRDefault="00782713">
      <w:r>
        <w:br w:type="page"/>
      </w:r>
    </w:p>
    <w:p w:rsidR="00782713" w:rsidRDefault="00782713" w:rsidP="00782713">
      <w:pPr>
        <w:pStyle w:val="Heading1"/>
      </w:pPr>
      <w:bookmarkStart w:id="20" w:name="_Toc304194277"/>
      <w:r>
        <w:lastRenderedPageBreak/>
        <w:t>Appendix B – Peer Review Report</w:t>
      </w:r>
      <w:bookmarkEnd w:id="20"/>
    </w:p>
    <w:p w:rsidR="00782713" w:rsidRDefault="00782713"/>
    <w:p w:rsidR="009A1E4C" w:rsidRDefault="00F82637">
      <w:r>
        <w:t>This report was s</w:t>
      </w:r>
      <w:r w:rsidR="009A1E4C">
        <w:t xml:space="preserve">ent in </w:t>
      </w:r>
      <w:r>
        <w:t xml:space="preserve">a </w:t>
      </w:r>
      <w:r w:rsidR="009A1E4C">
        <w:t xml:space="preserve">separate document. </w:t>
      </w:r>
    </w:p>
    <w:p w:rsidR="00C1621F" w:rsidRDefault="006E54E5">
      <w:r>
        <w:t xml:space="preserve"> </w:t>
      </w:r>
    </w:p>
    <w:p w:rsidR="00C1621F" w:rsidRDefault="00C1621F"/>
    <w:p w:rsidR="0005716C" w:rsidRDefault="0005716C">
      <w:pPr>
        <w:spacing w:after="0" w:line="240" w:lineRule="auto"/>
        <w:rPr>
          <w:rFonts w:ascii="Times New Roman" w:hAnsi="Times New Roman" w:cs="Times New Roman"/>
          <w:sz w:val="12"/>
        </w:rPr>
      </w:pPr>
      <w:bookmarkStart w:id="21" w:name="Tagg"/>
      <w:bookmarkEnd w:id="17"/>
      <w:bookmarkEnd w:id="18"/>
      <w:bookmarkEnd w:id="19"/>
    </w:p>
    <w:p w:rsidR="0005716C" w:rsidRDefault="006B52BF">
      <w:pPr>
        <w:spacing w:after="0" w:line="240" w:lineRule="auto"/>
        <w:rPr>
          <w:rFonts w:ascii="Times New Roman" w:hAnsi="Times New Roman" w:cs="Times New Roman"/>
          <w:sz w:val="12"/>
        </w:rPr>
      </w:pPr>
      <w:r>
        <w:rPr>
          <w:rFonts w:ascii="Times New Roman" w:hAnsi="Times New Roman" w:cs="Times New Roman"/>
          <w:sz w:val="12"/>
        </w:rPr>
        <w:t>________________________________________</w:t>
      </w:r>
    </w:p>
    <w:p w:rsidR="0005716C" w:rsidRDefault="006B52BF">
      <w:pPr>
        <w:spacing w:after="0" w:line="240" w:lineRule="auto"/>
        <w:rPr>
          <w:rFonts w:ascii="Times New Roman" w:hAnsi="Times New Roman" w:cs="Times New Roman"/>
          <w:sz w:val="12"/>
        </w:rPr>
      </w:pPr>
      <w:r>
        <w:rPr>
          <w:rFonts w:ascii="Times New Roman" w:hAnsi="Times New Roman" w:cs="Times New Roman"/>
          <w:sz w:val="12"/>
        </w:rPr>
        <w:t>q:\jf\ra forum\2011\100411 steering draft standard v3.docx</w:t>
      </w:r>
      <w:bookmarkEnd w:id="21"/>
    </w:p>
    <w:sectPr w:rsidR="0005716C" w:rsidSect="008601FE">
      <w:headerReference w:type="default"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F9C" w:rsidRDefault="00D63F9C" w:rsidP="0048289D">
      <w:r>
        <w:separator/>
      </w:r>
    </w:p>
  </w:endnote>
  <w:endnote w:type="continuationSeparator" w:id="0">
    <w:p w:rsidR="00D63F9C" w:rsidRDefault="00D63F9C" w:rsidP="004828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inio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909"/>
      <w:docPartObj>
        <w:docPartGallery w:val="Page Numbers (Bottom of Page)"/>
        <w:docPartUnique/>
      </w:docPartObj>
    </w:sdtPr>
    <w:sdtContent>
      <w:p w:rsidR="00D63F9C" w:rsidRDefault="00D63F9C">
        <w:pPr>
          <w:pStyle w:val="Footer"/>
          <w:jc w:val="right"/>
        </w:pPr>
        <w:fldSimple w:instr=" PAGE   \* MERGEFORMAT ">
          <w:r w:rsidR="00F82637">
            <w:rPr>
              <w:noProof/>
            </w:rPr>
            <w:t>2</w:t>
          </w:r>
        </w:fldSimple>
      </w:p>
    </w:sdtContent>
  </w:sdt>
  <w:p w:rsidR="00D63F9C" w:rsidRDefault="00D63F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F9C" w:rsidRDefault="00D63F9C" w:rsidP="0048289D">
      <w:r>
        <w:separator/>
      </w:r>
    </w:p>
  </w:footnote>
  <w:footnote w:type="continuationSeparator" w:id="0">
    <w:p w:rsidR="00D63F9C" w:rsidRDefault="00D63F9C" w:rsidP="0048289D">
      <w:r>
        <w:continuationSeparator/>
      </w:r>
    </w:p>
  </w:footnote>
  <w:footnote w:id="1">
    <w:p w:rsidR="00D63F9C" w:rsidRDefault="00D63F9C">
      <w:pPr>
        <w:pStyle w:val="FootnoteText"/>
      </w:pPr>
      <w:r>
        <w:rPr>
          <w:rStyle w:val="FootnoteReference"/>
        </w:rPr>
        <w:footnoteRef/>
      </w:r>
      <w:r>
        <w:t xml:space="preserve"> The 2008 standard can be found at </w:t>
      </w:r>
      <w:hyperlink r:id="rId1" w:history="1">
        <w:r w:rsidRPr="00F10E0C">
          <w:rPr>
            <w:rStyle w:val="Hyperlink"/>
          </w:rPr>
          <w:t>http://www.nwcouncil.org/library/2008/2008-07.pdf</w:t>
        </w:r>
      </w:hyperlink>
      <w:r>
        <w:t>.</w:t>
      </w:r>
    </w:p>
  </w:footnote>
  <w:footnote w:id="2">
    <w:p w:rsidR="00D63F9C" w:rsidRDefault="00D63F9C" w:rsidP="00807188">
      <w:pPr>
        <w:pStyle w:val="FootnoteText"/>
      </w:pPr>
      <w:r>
        <w:rPr>
          <w:rStyle w:val="FootnoteReference"/>
        </w:rPr>
        <w:footnoteRef/>
      </w:r>
      <w:r>
        <w:t xml:space="preserve"> The latest published assessment can be found in Chapter 14 of the Council’s Sixth Power Plan, at </w:t>
      </w:r>
      <w:hyperlink r:id="rId2" w:history="1">
        <w:r w:rsidRPr="003A6DEA">
          <w:rPr>
            <w:rStyle w:val="Hyperlink"/>
          </w:rPr>
          <w:t>http://www.nwcouncil.org/energy/powerplan/6/final/SixthPowerPlan_Ch14.pdf</w:t>
        </w:r>
      </w:hyperlink>
      <w:r>
        <w:t xml:space="preserve">. </w:t>
      </w:r>
    </w:p>
  </w:footnote>
  <w:footnote w:id="3">
    <w:p w:rsidR="00D63F9C" w:rsidRDefault="00D63F9C">
      <w:pPr>
        <w:pStyle w:val="FootnoteText"/>
      </w:pPr>
      <w:r>
        <w:rPr>
          <w:rStyle w:val="FootnoteReference"/>
        </w:rPr>
        <w:footnoteRef/>
      </w:r>
      <w:r>
        <w:t xml:space="preserve"> A summary of the peer review is provided in Appendix B.  </w:t>
      </w:r>
    </w:p>
  </w:footnote>
  <w:footnote w:id="4">
    <w:p w:rsidR="00D63F9C" w:rsidRDefault="00D63F9C" w:rsidP="009A007F">
      <w:pPr>
        <w:pStyle w:val="FootnoteText"/>
      </w:pPr>
      <w:r>
        <w:rPr>
          <w:rStyle w:val="FootnoteReference"/>
        </w:rPr>
        <w:footnoteRef/>
      </w:r>
      <w:r>
        <w:t xml:space="preserve">  </w:t>
      </w:r>
      <w:r>
        <w:rPr>
          <w:i/>
          <w:iCs/>
        </w:rPr>
        <w:t xml:space="preserve">Northwest Power Supply Adequacy/Reliability Study Phase 1 Report, </w:t>
      </w:r>
      <w:r>
        <w:t xml:space="preserve">Council Document 2000-4, March, 2000. </w:t>
      </w:r>
      <w:hyperlink r:id="rId3" w:history="1">
        <w:r>
          <w:rPr>
            <w:rStyle w:val="Hyperlink"/>
          </w:rPr>
          <w:t>http://www.nwcouncil.org/library/2000/2000-4.pdf</w:t>
        </w:r>
      </w:hyperlink>
      <w:r>
        <w:t xml:space="preserve"> </w:t>
      </w:r>
    </w:p>
  </w:footnote>
  <w:footnote w:id="5">
    <w:p w:rsidR="00D63F9C" w:rsidRDefault="00D63F9C">
      <w:pPr>
        <w:pStyle w:val="FootnoteText"/>
      </w:pPr>
      <w:r>
        <w:rPr>
          <w:rStyle w:val="FootnoteReference"/>
        </w:rPr>
        <w:footnoteRef/>
      </w:r>
      <w:r>
        <w:t xml:space="preserve"> These reports include the Pacific Northwest Utility Conference Committee’s Northwest Regional Forecast of Loads and Resources and the Bonneville Power Administration’s White Book. </w:t>
      </w:r>
    </w:p>
  </w:footnote>
  <w:footnote w:id="6">
    <w:p w:rsidR="00D63F9C" w:rsidRDefault="00D63F9C">
      <w:pPr>
        <w:pStyle w:val="FootnoteText"/>
      </w:pPr>
      <w:r>
        <w:rPr>
          <w:rStyle w:val="FootnoteReference"/>
        </w:rPr>
        <w:footnoteRef/>
      </w:r>
      <w:r>
        <w:t xml:space="preserve"> See Appendix 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F9C" w:rsidRPr="00C1621F" w:rsidRDefault="00D63F9C" w:rsidP="00C1621F">
    <w:pPr>
      <w:pStyle w:val="Header"/>
      <w:jc w:val="center"/>
      <w:rPr>
        <w:sz w:val="28"/>
        <w:szCs w:val="28"/>
      </w:rPr>
    </w:pPr>
    <w:r>
      <w:rPr>
        <w:sz w:val="28"/>
        <w:szCs w:val="28"/>
      </w:rPr>
      <w:t>DRAFT Version 3 – September 20</w:t>
    </w:r>
    <w:r w:rsidRPr="00C1621F">
      <w:rPr>
        <w:sz w:val="28"/>
        <w:szCs w:val="28"/>
      </w:rPr>
      <w:t>, 2011</w:t>
    </w:r>
  </w:p>
  <w:p w:rsidR="00D63F9C" w:rsidRDefault="00D63F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2A0566E"/>
    <w:lvl w:ilvl="0">
      <w:start w:val="1"/>
      <w:numFmt w:val="decimal"/>
      <w:lvlText w:val="%1."/>
      <w:lvlJc w:val="left"/>
      <w:pPr>
        <w:tabs>
          <w:tab w:val="num" w:pos="360"/>
        </w:tabs>
        <w:ind w:left="360" w:hanging="360"/>
      </w:pPr>
    </w:lvl>
  </w:abstractNum>
  <w:abstractNum w:abstractNumId="1">
    <w:nsid w:val="03B018A9"/>
    <w:multiLevelType w:val="hybridMultilevel"/>
    <w:tmpl w:val="93C8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8136C"/>
    <w:multiLevelType w:val="multilevel"/>
    <w:tmpl w:val="3C8E769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7324AFF"/>
    <w:multiLevelType w:val="hybridMultilevel"/>
    <w:tmpl w:val="9C04C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365682"/>
    <w:multiLevelType w:val="hybridMultilevel"/>
    <w:tmpl w:val="EA78C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E0B9E"/>
    <w:multiLevelType w:val="multilevel"/>
    <w:tmpl w:val="EE54943E"/>
    <w:numStyleLink w:val="StyleBulleted"/>
  </w:abstractNum>
  <w:abstractNum w:abstractNumId="6">
    <w:nsid w:val="13FF608F"/>
    <w:multiLevelType w:val="hybridMultilevel"/>
    <w:tmpl w:val="3F061FF8"/>
    <w:lvl w:ilvl="0" w:tplc="A5065F0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05B6D"/>
    <w:multiLevelType w:val="multilevel"/>
    <w:tmpl w:val="413E5500"/>
    <w:lvl w:ilvl="0">
      <w:start w:val="1"/>
      <w:numFmt w:val="lowerLetter"/>
      <w:lvlText w:val="%1."/>
      <w:lvlJc w:val="left"/>
      <w:pPr>
        <w:tabs>
          <w:tab w:val="num" w:pos="360"/>
        </w:tabs>
        <w:ind w:left="560" w:hanging="20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977461"/>
    <w:multiLevelType w:val="hybridMultilevel"/>
    <w:tmpl w:val="1270CF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5F30EE"/>
    <w:multiLevelType w:val="hybridMultilevel"/>
    <w:tmpl w:val="A99C550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0">
    <w:nsid w:val="210A3129"/>
    <w:multiLevelType w:val="hybridMultilevel"/>
    <w:tmpl w:val="180E52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8E4216"/>
    <w:multiLevelType w:val="hybridMultilevel"/>
    <w:tmpl w:val="2D1256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44D5B86"/>
    <w:multiLevelType w:val="multilevel"/>
    <w:tmpl w:val="79785656"/>
    <w:numStyleLink w:val="StyleNumbered"/>
  </w:abstractNum>
  <w:abstractNum w:abstractNumId="13">
    <w:nsid w:val="247E2319"/>
    <w:multiLevelType w:val="multilevel"/>
    <w:tmpl w:val="79785656"/>
    <w:numStyleLink w:val="StyleNumbered"/>
  </w:abstractNum>
  <w:abstractNum w:abstractNumId="14">
    <w:nsid w:val="29537E63"/>
    <w:multiLevelType w:val="multilevel"/>
    <w:tmpl w:val="EE54943E"/>
    <w:numStyleLink w:val="StyleBulleted"/>
  </w:abstractNum>
  <w:abstractNum w:abstractNumId="15">
    <w:nsid w:val="2A6D4E9C"/>
    <w:multiLevelType w:val="hybridMultilevel"/>
    <w:tmpl w:val="CD107B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C32597"/>
    <w:multiLevelType w:val="multilevel"/>
    <w:tmpl w:val="EE54943E"/>
    <w:styleLink w:val="StyleBulleted"/>
    <w:lvl w:ilvl="0">
      <w:start w:val="1"/>
      <w:numFmt w:val="bullet"/>
      <w:lvlText w:val=""/>
      <w:lvlJc w:val="left"/>
      <w:pPr>
        <w:tabs>
          <w:tab w:val="num" w:pos="360"/>
        </w:tabs>
        <w:ind w:left="560" w:hanging="20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ADB5FA5"/>
    <w:multiLevelType w:val="hybridMultilevel"/>
    <w:tmpl w:val="F50A2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900E97"/>
    <w:multiLevelType w:val="hybridMultilevel"/>
    <w:tmpl w:val="D6F8A8D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9">
    <w:nsid w:val="326625A5"/>
    <w:multiLevelType w:val="multilevel"/>
    <w:tmpl w:val="EE54943E"/>
    <w:numStyleLink w:val="StyleBulleted"/>
  </w:abstractNum>
  <w:abstractNum w:abstractNumId="20">
    <w:nsid w:val="336C6DD9"/>
    <w:multiLevelType w:val="hybridMultilevel"/>
    <w:tmpl w:val="801640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56A6C61"/>
    <w:multiLevelType w:val="hybridMultilevel"/>
    <w:tmpl w:val="2782027C"/>
    <w:lvl w:ilvl="0" w:tplc="EC6A37AA">
      <w:start w:val="1"/>
      <w:numFmt w:val="bullet"/>
      <w:lvlText w:val=""/>
      <w:lvlJc w:val="left"/>
      <w:pPr>
        <w:tabs>
          <w:tab w:val="num" w:pos="720"/>
        </w:tabs>
        <w:ind w:left="720" w:hanging="360"/>
      </w:pPr>
      <w:rPr>
        <w:rFonts w:ascii="Symbol" w:hAnsi="Symbol" w:hint="default"/>
      </w:rPr>
    </w:lvl>
    <w:lvl w:ilvl="1" w:tplc="D1289358" w:tentative="1">
      <w:start w:val="1"/>
      <w:numFmt w:val="bullet"/>
      <w:lvlText w:val="o"/>
      <w:lvlJc w:val="left"/>
      <w:pPr>
        <w:tabs>
          <w:tab w:val="num" w:pos="1440"/>
        </w:tabs>
        <w:ind w:left="1440" w:hanging="360"/>
      </w:pPr>
      <w:rPr>
        <w:rFonts w:ascii="Courier New" w:hAnsi="Courier New" w:hint="default"/>
      </w:rPr>
    </w:lvl>
    <w:lvl w:ilvl="2" w:tplc="04C09FAC" w:tentative="1">
      <w:start w:val="1"/>
      <w:numFmt w:val="bullet"/>
      <w:lvlText w:val=""/>
      <w:lvlJc w:val="left"/>
      <w:pPr>
        <w:tabs>
          <w:tab w:val="num" w:pos="2160"/>
        </w:tabs>
        <w:ind w:left="2160" w:hanging="360"/>
      </w:pPr>
      <w:rPr>
        <w:rFonts w:ascii="Wingdings" w:hAnsi="Wingdings" w:hint="default"/>
      </w:rPr>
    </w:lvl>
    <w:lvl w:ilvl="3" w:tplc="3BBE6172" w:tentative="1">
      <w:start w:val="1"/>
      <w:numFmt w:val="bullet"/>
      <w:lvlText w:val=""/>
      <w:lvlJc w:val="left"/>
      <w:pPr>
        <w:tabs>
          <w:tab w:val="num" w:pos="2880"/>
        </w:tabs>
        <w:ind w:left="2880" w:hanging="360"/>
      </w:pPr>
      <w:rPr>
        <w:rFonts w:ascii="Symbol" w:hAnsi="Symbol" w:hint="default"/>
      </w:rPr>
    </w:lvl>
    <w:lvl w:ilvl="4" w:tplc="BBF88CDA" w:tentative="1">
      <w:start w:val="1"/>
      <w:numFmt w:val="bullet"/>
      <w:lvlText w:val="o"/>
      <w:lvlJc w:val="left"/>
      <w:pPr>
        <w:tabs>
          <w:tab w:val="num" w:pos="3600"/>
        </w:tabs>
        <w:ind w:left="3600" w:hanging="360"/>
      </w:pPr>
      <w:rPr>
        <w:rFonts w:ascii="Courier New" w:hAnsi="Courier New" w:hint="default"/>
      </w:rPr>
    </w:lvl>
    <w:lvl w:ilvl="5" w:tplc="F2A8DB9E" w:tentative="1">
      <w:start w:val="1"/>
      <w:numFmt w:val="bullet"/>
      <w:lvlText w:val=""/>
      <w:lvlJc w:val="left"/>
      <w:pPr>
        <w:tabs>
          <w:tab w:val="num" w:pos="4320"/>
        </w:tabs>
        <w:ind w:left="4320" w:hanging="360"/>
      </w:pPr>
      <w:rPr>
        <w:rFonts w:ascii="Wingdings" w:hAnsi="Wingdings" w:hint="default"/>
      </w:rPr>
    </w:lvl>
    <w:lvl w:ilvl="6" w:tplc="E4620DFE" w:tentative="1">
      <w:start w:val="1"/>
      <w:numFmt w:val="bullet"/>
      <w:lvlText w:val=""/>
      <w:lvlJc w:val="left"/>
      <w:pPr>
        <w:tabs>
          <w:tab w:val="num" w:pos="5040"/>
        </w:tabs>
        <w:ind w:left="5040" w:hanging="360"/>
      </w:pPr>
      <w:rPr>
        <w:rFonts w:ascii="Symbol" w:hAnsi="Symbol" w:hint="default"/>
      </w:rPr>
    </w:lvl>
    <w:lvl w:ilvl="7" w:tplc="099AAB66" w:tentative="1">
      <w:start w:val="1"/>
      <w:numFmt w:val="bullet"/>
      <w:lvlText w:val="o"/>
      <w:lvlJc w:val="left"/>
      <w:pPr>
        <w:tabs>
          <w:tab w:val="num" w:pos="5760"/>
        </w:tabs>
        <w:ind w:left="5760" w:hanging="360"/>
      </w:pPr>
      <w:rPr>
        <w:rFonts w:ascii="Courier New" w:hAnsi="Courier New" w:hint="default"/>
      </w:rPr>
    </w:lvl>
    <w:lvl w:ilvl="8" w:tplc="E2FA2ADA" w:tentative="1">
      <w:start w:val="1"/>
      <w:numFmt w:val="bullet"/>
      <w:lvlText w:val=""/>
      <w:lvlJc w:val="left"/>
      <w:pPr>
        <w:tabs>
          <w:tab w:val="num" w:pos="6480"/>
        </w:tabs>
        <w:ind w:left="6480" w:hanging="360"/>
      </w:pPr>
      <w:rPr>
        <w:rFonts w:ascii="Wingdings" w:hAnsi="Wingdings" w:hint="default"/>
      </w:rPr>
    </w:lvl>
  </w:abstractNum>
  <w:abstractNum w:abstractNumId="22">
    <w:nsid w:val="375B5030"/>
    <w:multiLevelType w:val="multilevel"/>
    <w:tmpl w:val="B25CE816"/>
    <w:lvl w:ilvl="0">
      <w:start w:val="1"/>
      <w:numFmt w:val="bullet"/>
      <w:lvlText w:val=""/>
      <w:lvlJc w:val="left"/>
      <w:pPr>
        <w:tabs>
          <w:tab w:val="num" w:pos="360"/>
        </w:tabs>
        <w:ind w:left="560" w:hanging="20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7F33049"/>
    <w:multiLevelType w:val="hybridMultilevel"/>
    <w:tmpl w:val="C534122A"/>
    <w:lvl w:ilvl="0" w:tplc="A5065F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AEA655F"/>
    <w:multiLevelType w:val="multilevel"/>
    <w:tmpl w:val="79785656"/>
    <w:styleLink w:val="StyleNumbered"/>
    <w:lvl w:ilvl="0">
      <w:start w:val="1"/>
      <w:numFmt w:val="decimal"/>
      <w:lvlText w:val="%1."/>
      <w:lvlJc w:val="left"/>
      <w:pPr>
        <w:tabs>
          <w:tab w:val="num" w:pos="360"/>
        </w:tabs>
        <w:ind w:left="600" w:hanging="240"/>
      </w:pPr>
      <w:rPr>
        <w:rFonts w:ascii="Minion" w:hAnsi="Minion"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3ECF51AB"/>
    <w:multiLevelType w:val="multilevel"/>
    <w:tmpl w:val="EE54943E"/>
    <w:numStyleLink w:val="StyleBulleted"/>
  </w:abstractNum>
  <w:abstractNum w:abstractNumId="26">
    <w:nsid w:val="4029272E"/>
    <w:multiLevelType w:val="hybridMultilevel"/>
    <w:tmpl w:val="82B25C08"/>
    <w:lvl w:ilvl="0" w:tplc="6846B7DA">
      <w:start w:val="1"/>
      <w:numFmt w:val="bullet"/>
      <w:lvlText w:val=""/>
      <w:lvlJc w:val="left"/>
      <w:pPr>
        <w:ind w:left="1311" w:hanging="360"/>
      </w:pPr>
      <w:rPr>
        <w:rFonts w:ascii="Symbol" w:hAnsi="Symbol" w:hint="default"/>
      </w:rPr>
    </w:lvl>
    <w:lvl w:ilvl="1" w:tplc="9BC8DF8E" w:tentative="1">
      <w:start w:val="1"/>
      <w:numFmt w:val="bullet"/>
      <w:lvlText w:val="o"/>
      <w:lvlJc w:val="left"/>
      <w:pPr>
        <w:ind w:left="2031" w:hanging="360"/>
      </w:pPr>
      <w:rPr>
        <w:rFonts w:ascii="Courier New" w:hAnsi="Courier New" w:cs="Courier New" w:hint="default"/>
      </w:rPr>
    </w:lvl>
    <w:lvl w:ilvl="2" w:tplc="D5104634" w:tentative="1">
      <w:start w:val="1"/>
      <w:numFmt w:val="bullet"/>
      <w:lvlText w:val=""/>
      <w:lvlJc w:val="left"/>
      <w:pPr>
        <w:ind w:left="2751" w:hanging="360"/>
      </w:pPr>
      <w:rPr>
        <w:rFonts w:ascii="Wingdings" w:hAnsi="Wingdings" w:hint="default"/>
      </w:rPr>
    </w:lvl>
    <w:lvl w:ilvl="3" w:tplc="C296845E" w:tentative="1">
      <w:start w:val="1"/>
      <w:numFmt w:val="bullet"/>
      <w:lvlText w:val=""/>
      <w:lvlJc w:val="left"/>
      <w:pPr>
        <w:ind w:left="3471" w:hanging="360"/>
      </w:pPr>
      <w:rPr>
        <w:rFonts w:ascii="Symbol" w:hAnsi="Symbol" w:hint="default"/>
      </w:rPr>
    </w:lvl>
    <w:lvl w:ilvl="4" w:tplc="9236ACA0" w:tentative="1">
      <w:start w:val="1"/>
      <w:numFmt w:val="bullet"/>
      <w:lvlText w:val="o"/>
      <w:lvlJc w:val="left"/>
      <w:pPr>
        <w:ind w:left="4191" w:hanging="360"/>
      </w:pPr>
      <w:rPr>
        <w:rFonts w:ascii="Courier New" w:hAnsi="Courier New" w:cs="Courier New" w:hint="default"/>
      </w:rPr>
    </w:lvl>
    <w:lvl w:ilvl="5" w:tplc="2BA4BF52" w:tentative="1">
      <w:start w:val="1"/>
      <w:numFmt w:val="bullet"/>
      <w:lvlText w:val=""/>
      <w:lvlJc w:val="left"/>
      <w:pPr>
        <w:ind w:left="4911" w:hanging="360"/>
      </w:pPr>
      <w:rPr>
        <w:rFonts w:ascii="Wingdings" w:hAnsi="Wingdings" w:hint="default"/>
      </w:rPr>
    </w:lvl>
    <w:lvl w:ilvl="6" w:tplc="585AF252" w:tentative="1">
      <w:start w:val="1"/>
      <w:numFmt w:val="bullet"/>
      <w:lvlText w:val=""/>
      <w:lvlJc w:val="left"/>
      <w:pPr>
        <w:ind w:left="5631" w:hanging="360"/>
      </w:pPr>
      <w:rPr>
        <w:rFonts w:ascii="Symbol" w:hAnsi="Symbol" w:hint="default"/>
      </w:rPr>
    </w:lvl>
    <w:lvl w:ilvl="7" w:tplc="DFF8D3EC" w:tentative="1">
      <w:start w:val="1"/>
      <w:numFmt w:val="bullet"/>
      <w:lvlText w:val="o"/>
      <w:lvlJc w:val="left"/>
      <w:pPr>
        <w:ind w:left="6351" w:hanging="360"/>
      </w:pPr>
      <w:rPr>
        <w:rFonts w:ascii="Courier New" w:hAnsi="Courier New" w:cs="Courier New" w:hint="default"/>
      </w:rPr>
    </w:lvl>
    <w:lvl w:ilvl="8" w:tplc="88441A5C" w:tentative="1">
      <w:start w:val="1"/>
      <w:numFmt w:val="bullet"/>
      <w:lvlText w:val=""/>
      <w:lvlJc w:val="left"/>
      <w:pPr>
        <w:ind w:left="7071" w:hanging="360"/>
      </w:pPr>
      <w:rPr>
        <w:rFonts w:ascii="Wingdings" w:hAnsi="Wingdings" w:hint="default"/>
      </w:rPr>
    </w:lvl>
  </w:abstractNum>
  <w:abstractNum w:abstractNumId="27">
    <w:nsid w:val="42271929"/>
    <w:multiLevelType w:val="hybridMultilevel"/>
    <w:tmpl w:val="733C2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334D7A"/>
    <w:multiLevelType w:val="singleLevel"/>
    <w:tmpl w:val="E2D478A8"/>
    <w:lvl w:ilvl="0">
      <w:start w:val="1"/>
      <w:numFmt w:val="lowerRoman"/>
      <w:pStyle w:val="Styleiii"/>
      <w:lvlText w:val="%1."/>
      <w:lvlJc w:val="right"/>
      <w:pPr>
        <w:tabs>
          <w:tab w:val="num" w:pos="360"/>
        </w:tabs>
        <w:ind w:left="680" w:hanging="80"/>
      </w:pPr>
      <w:rPr>
        <w:rFonts w:hint="default"/>
        <w:sz w:val="22"/>
      </w:rPr>
    </w:lvl>
  </w:abstractNum>
  <w:abstractNum w:abstractNumId="29">
    <w:nsid w:val="45546BAA"/>
    <w:multiLevelType w:val="multilevel"/>
    <w:tmpl w:val="EE54943E"/>
    <w:numStyleLink w:val="StyleBulleted"/>
  </w:abstractNum>
  <w:abstractNum w:abstractNumId="30">
    <w:nsid w:val="46E20747"/>
    <w:multiLevelType w:val="hybridMultilevel"/>
    <w:tmpl w:val="C8D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675864"/>
    <w:multiLevelType w:val="multilevel"/>
    <w:tmpl w:val="B25CE816"/>
    <w:lvl w:ilvl="0">
      <w:start w:val="1"/>
      <w:numFmt w:val="bullet"/>
      <w:lvlText w:val=""/>
      <w:lvlJc w:val="left"/>
      <w:pPr>
        <w:tabs>
          <w:tab w:val="num" w:pos="360"/>
        </w:tabs>
        <w:ind w:left="560" w:hanging="20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48942304"/>
    <w:multiLevelType w:val="hybridMultilevel"/>
    <w:tmpl w:val="F2402936"/>
    <w:lvl w:ilvl="0" w:tplc="7F8219AE">
      <w:start w:val="1"/>
      <w:numFmt w:val="bullet"/>
      <w:lvlText w:val=""/>
      <w:lvlJc w:val="left"/>
      <w:pPr>
        <w:tabs>
          <w:tab w:val="num" w:pos="720"/>
        </w:tabs>
        <w:ind w:left="720" w:hanging="360"/>
      </w:pPr>
      <w:rPr>
        <w:rFonts w:ascii="Symbol" w:hAnsi="Symbol" w:hint="default"/>
      </w:rPr>
    </w:lvl>
    <w:lvl w:ilvl="1" w:tplc="80108AA0" w:tentative="1">
      <w:start w:val="1"/>
      <w:numFmt w:val="bullet"/>
      <w:lvlText w:val="o"/>
      <w:lvlJc w:val="left"/>
      <w:pPr>
        <w:tabs>
          <w:tab w:val="num" w:pos="1440"/>
        </w:tabs>
        <w:ind w:left="1440" w:hanging="360"/>
      </w:pPr>
      <w:rPr>
        <w:rFonts w:ascii="Courier New" w:hAnsi="Courier New" w:cs="Courier New" w:hint="default"/>
      </w:rPr>
    </w:lvl>
    <w:lvl w:ilvl="2" w:tplc="87BCD362" w:tentative="1">
      <w:start w:val="1"/>
      <w:numFmt w:val="bullet"/>
      <w:lvlText w:val=""/>
      <w:lvlJc w:val="left"/>
      <w:pPr>
        <w:tabs>
          <w:tab w:val="num" w:pos="2160"/>
        </w:tabs>
        <w:ind w:left="2160" w:hanging="360"/>
      </w:pPr>
      <w:rPr>
        <w:rFonts w:ascii="Wingdings" w:hAnsi="Wingdings" w:hint="default"/>
      </w:rPr>
    </w:lvl>
    <w:lvl w:ilvl="3" w:tplc="079411D6" w:tentative="1">
      <w:start w:val="1"/>
      <w:numFmt w:val="bullet"/>
      <w:lvlText w:val=""/>
      <w:lvlJc w:val="left"/>
      <w:pPr>
        <w:tabs>
          <w:tab w:val="num" w:pos="2880"/>
        </w:tabs>
        <w:ind w:left="2880" w:hanging="360"/>
      </w:pPr>
      <w:rPr>
        <w:rFonts w:ascii="Symbol" w:hAnsi="Symbol" w:hint="default"/>
      </w:rPr>
    </w:lvl>
    <w:lvl w:ilvl="4" w:tplc="AE22E5CC" w:tentative="1">
      <w:start w:val="1"/>
      <w:numFmt w:val="bullet"/>
      <w:lvlText w:val="o"/>
      <w:lvlJc w:val="left"/>
      <w:pPr>
        <w:tabs>
          <w:tab w:val="num" w:pos="3600"/>
        </w:tabs>
        <w:ind w:left="3600" w:hanging="360"/>
      </w:pPr>
      <w:rPr>
        <w:rFonts w:ascii="Courier New" w:hAnsi="Courier New" w:cs="Courier New" w:hint="default"/>
      </w:rPr>
    </w:lvl>
    <w:lvl w:ilvl="5" w:tplc="852A10B8" w:tentative="1">
      <w:start w:val="1"/>
      <w:numFmt w:val="bullet"/>
      <w:lvlText w:val=""/>
      <w:lvlJc w:val="left"/>
      <w:pPr>
        <w:tabs>
          <w:tab w:val="num" w:pos="4320"/>
        </w:tabs>
        <w:ind w:left="4320" w:hanging="360"/>
      </w:pPr>
      <w:rPr>
        <w:rFonts w:ascii="Wingdings" w:hAnsi="Wingdings" w:hint="default"/>
      </w:rPr>
    </w:lvl>
    <w:lvl w:ilvl="6" w:tplc="C7583186" w:tentative="1">
      <w:start w:val="1"/>
      <w:numFmt w:val="bullet"/>
      <w:lvlText w:val=""/>
      <w:lvlJc w:val="left"/>
      <w:pPr>
        <w:tabs>
          <w:tab w:val="num" w:pos="5040"/>
        </w:tabs>
        <w:ind w:left="5040" w:hanging="360"/>
      </w:pPr>
      <w:rPr>
        <w:rFonts w:ascii="Symbol" w:hAnsi="Symbol" w:hint="default"/>
      </w:rPr>
    </w:lvl>
    <w:lvl w:ilvl="7" w:tplc="4A92183C" w:tentative="1">
      <w:start w:val="1"/>
      <w:numFmt w:val="bullet"/>
      <w:lvlText w:val="o"/>
      <w:lvlJc w:val="left"/>
      <w:pPr>
        <w:tabs>
          <w:tab w:val="num" w:pos="5760"/>
        </w:tabs>
        <w:ind w:left="5760" w:hanging="360"/>
      </w:pPr>
      <w:rPr>
        <w:rFonts w:ascii="Courier New" w:hAnsi="Courier New" w:cs="Courier New" w:hint="default"/>
      </w:rPr>
    </w:lvl>
    <w:lvl w:ilvl="8" w:tplc="1960DE2E" w:tentative="1">
      <w:start w:val="1"/>
      <w:numFmt w:val="bullet"/>
      <w:lvlText w:val=""/>
      <w:lvlJc w:val="left"/>
      <w:pPr>
        <w:tabs>
          <w:tab w:val="num" w:pos="6480"/>
        </w:tabs>
        <w:ind w:left="6480" w:hanging="360"/>
      </w:pPr>
      <w:rPr>
        <w:rFonts w:ascii="Wingdings" w:hAnsi="Wingdings" w:hint="default"/>
      </w:rPr>
    </w:lvl>
  </w:abstractNum>
  <w:abstractNum w:abstractNumId="33">
    <w:nsid w:val="4C3C564E"/>
    <w:multiLevelType w:val="multilevel"/>
    <w:tmpl w:val="0409001D"/>
    <w:lvl w:ilvl="0">
      <w:start w:val="1"/>
      <w:numFmt w:val="decimal"/>
      <w:lvlText w:val="%1)"/>
      <w:lvlJc w:val="left"/>
      <w:pPr>
        <w:tabs>
          <w:tab w:val="num" w:pos="360"/>
        </w:tabs>
        <w:ind w:left="360" w:hanging="360"/>
      </w:pPr>
      <w:rPr>
        <w:rFonts w:hint="default"/>
        <w:b/>
        <w:i w:val="0"/>
        <w:sz w:val="24"/>
        <w:szCs w:val="24"/>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80"/>
        </w:tabs>
        <w:ind w:left="1080" w:hanging="360"/>
      </w:pPr>
      <w:rPr>
        <w:rFonts w:hint="default"/>
        <w:b/>
        <w:i w:val="0"/>
        <w:sz w:val="24"/>
        <w:szCs w:val="24"/>
      </w:rPr>
    </w:lvl>
    <w:lvl w:ilvl="3">
      <w:start w:val="1"/>
      <w:numFmt w:val="decimal"/>
      <w:lvlText w:val="(%4)"/>
      <w:lvlJc w:val="left"/>
      <w:pPr>
        <w:tabs>
          <w:tab w:val="num" w:pos="1440"/>
        </w:tabs>
        <w:ind w:left="1440" w:hanging="360"/>
      </w:pPr>
      <w:rPr>
        <w:rFonts w:hint="default"/>
        <w:b/>
        <w:i w:val="0"/>
        <w:sz w:val="24"/>
        <w:szCs w:val="24"/>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4F815803"/>
    <w:multiLevelType w:val="hybridMultilevel"/>
    <w:tmpl w:val="A14420E2"/>
    <w:lvl w:ilvl="0" w:tplc="51DCDD0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3454BE1"/>
    <w:multiLevelType w:val="multilevel"/>
    <w:tmpl w:val="EE54943E"/>
    <w:numStyleLink w:val="StyleBulleted"/>
  </w:abstractNum>
  <w:abstractNum w:abstractNumId="36">
    <w:nsid w:val="53A81F87"/>
    <w:multiLevelType w:val="multilevel"/>
    <w:tmpl w:val="79785656"/>
    <w:numStyleLink w:val="StyleNumbered"/>
  </w:abstractNum>
  <w:abstractNum w:abstractNumId="37">
    <w:nsid w:val="55C24BDD"/>
    <w:multiLevelType w:val="hybridMultilevel"/>
    <w:tmpl w:val="0A605240"/>
    <w:lvl w:ilvl="0" w:tplc="882A2B48">
      <w:start w:val="1"/>
      <w:numFmt w:val="lowerLetter"/>
      <w:pStyle w:val="Stylea"/>
      <w:lvlText w:val="%1."/>
      <w:lvlJc w:val="left"/>
      <w:pPr>
        <w:tabs>
          <w:tab w:val="num" w:pos="360"/>
        </w:tabs>
        <w:ind w:left="600" w:hanging="240"/>
      </w:pPr>
      <w:rPr>
        <w:rFonts w:hint="default"/>
      </w:rPr>
    </w:lvl>
    <w:lvl w:ilvl="1" w:tplc="D49AC7F8" w:tentative="1">
      <w:start w:val="1"/>
      <w:numFmt w:val="lowerLetter"/>
      <w:lvlText w:val="%2."/>
      <w:lvlJc w:val="left"/>
      <w:pPr>
        <w:tabs>
          <w:tab w:val="num" w:pos="1440"/>
        </w:tabs>
        <w:ind w:left="1440" w:hanging="360"/>
      </w:pPr>
    </w:lvl>
    <w:lvl w:ilvl="2" w:tplc="F9C0FDD4" w:tentative="1">
      <w:start w:val="1"/>
      <w:numFmt w:val="lowerRoman"/>
      <w:lvlText w:val="%3."/>
      <w:lvlJc w:val="right"/>
      <w:pPr>
        <w:tabs>
          <w:tab w:val="num" w:pos="2160"/>
        </w:tabs>
        <w:ind w:left="2160" w:hanging="180"/>
      </w:pPr>
    </w:lvl>
    <w:lvl w:ilvl="3" w:tplc="5BAEA236" w:tentative="1">
      <w:start w:val="1"/>
      <w:numFmt w:val="decimal"/>
      <w:lvlText w:val="%4."/>
      <w:lvlJc w:val="left"/>
      <w:pPr>
        <w:tabs>
          <w:tab w:val="num" w:pos="2880"/>
        </w:tabs>
        <w:ind w:left="2880" w:hanging="360"/>
      </w:pPr>
    </w:lvl>
    <w:lvl w:ilvl="4" w:tplc="6680C024" w:tentative="1">
      <w:start w:val="1"/>
      <w:numFmt w:val="lowerLetter"/>
      <w:lvlText w:val="%5."/>
      <w:lvlJc w:val="left"/>
      <w:pPr>
        <w:tabs>
          <w:tab w:val="num" w:pos="3600"/>
        </w:tabs>
        <w:ind w:left="3600" w:hanging="360"/>
      </w:pPr>
    </w:lvl>
    <w:lvl w:ilvl="5" w:tplc="C6345E5C" w:tentative="1">
      <w:start w:val="1"/>
      <w:numFmt w:val="lowerRoman"/>
      <w:lvlText w:val="%6."/>
      <w:lvlJc w:val="right"/>
      <w:pPr>
        <w:tabs>
          <w:tab w:val="num" w:pos="4320"/>
        </w:tabs>
        <w:ind w:left="4320" w:hanging="180"/>
      </w:pPr>
    </w:lvl>
    <w:lvl w:ilvl="6" w:tplc="77D0F898" w:tentative="1">
      <w:start w:val="1"/>
      <w:numFmt w:val="decimal"/>
      <w:lvlText w:val="%7."/>
      <w:lvlJc w:val="left"/>
      <w:pPr>
        <w:tabs>
          <w:tab w:val="num" w:pos="5040"/>
        </w:tabs>
        <w:ind w:left="5040" w:hanging="360"/>
      </w:pPr>
    </w:lvl>
    <w:lvl w:ilvl="7" w:tplc="9C6C60DE" w:tentative="1">
      <w:start w:val="1"/>
      <w:numFmt w:val="lowerLetter"/>
      <w:lvlText w:val="%8."/>
      <w:lvlJc w:val="left"/>
      <w:pPr>
        <w:tabs>
          <w:tab w:val="num" w:pos="5760"/>
        </w:tabs>
        <w:ind w:left="5760" w:hanging="360"/>
      </w:pPr>
    </w:lvl>
    <w:lvl w:ilvl="8" w:tplc="AC32885C" w:tentative="1">
      <w:start w:val="1"/>
      <w:numFmt w:val="lowerRoman"/>
      <w:lvlText w:val="%9."/>
      <w:lvlJc w:val="right"/>
      <w:pPr>
        <w:tabs>
          <w:tab w:val="num" w:pos="6480"/>
        </w:tabs>
        <w:ind w:left="6480" w:hanging="180"/>
      </w:pPr>
    </w:lvl>
  </w:abstractNum>
  <w:abstractNum w:abstractNumId="38">
    <w:nsid w:val="5E9137B3"/>
    <w:multiLevelType w:val="hybridMultilevel"/>
    <w:tmpl w:val="0FCE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B30FAB"/>
    <w:multiLevelType w:val="hybridMultilevel"/>
    <w:tmpl w:val="6D2487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0696DBF"/>
    <w:multiLevelType w:val="multilevel"/>
    <w:tmpl w:val="79785656"/>
    <w:numStyleLink w:val="StyleNumbered"/>
  </w:abstractNum>
  <w:abstractNum w:abstractNumId="41">
    <w:nsid w:val="66DC466A"/>
    <w:multiLevelType w:val="hybridMultilevel"/>
    <w:tmpl w:val="1160E3AC"/>
    <w:lvl w:ilvl="0" w:tplc="31F265A0">
      <w:start w:val="1"/>
      <w:numFmt w:val="bullet"/>
      <w:lvlText w:val=""/>
      <w:lvlJc w:val="left"/>
      <w:pPr>
        <w:ind w:left="720" w:hanging="360"/>
      </w:pPr>
      <w:rPr>
        <w:rFonts w:ascii="Symbol" w:hAnsi="Symbol" w:hint="default"/>
      </w:rPr>
    </w:lvl>
    <w:lvl w:ilvl="1" w:tplc="1C00B31A" w:tentative="1">
      <w:start w:val="1"/>
      <w:numFmt w:val="lowerLetter"/>
      <w:lvlText w:val="%2."/>
      <w:lvlJc w:val="left"/>
      <w:pPr>
        <w:ind w:left="1440" w:hanging="360"/>
      </w:pPr>
    </w:lvl>
    <w:lvl w:ilvl="2" w:tplc="6F7C58A6" w:tentative="1">
      <w:start w:val="1"/>
      <w:numFmt w:val="lowerRoman"/>
      <w:lvlText w:val="%3."/>
      <w:lvlJc w:val="right"/>
      <w:pPr>
        <w:ind w:left="2160" w:hanging="180"/>
      </w:pPr>
    </w:lvl>
    <w:lvl w:ilvl="3" w:tplc="73AAB6B0" w:tentative="1">
      <w:start w:val="1"/>
      <w:numFmt w:val="decimal"/>
      <w:lvlText w:val="%4."/>
      <w:lvlJc w:val="left"/>
      <w:pPr>
        <w:ind w:left="2880" w:hanging="360"/>
      </w:pPr>
    </w:lvl>
    <w:lvl w:ilvl="4" w:tplc="FB208790" w:tentative="1">
      <w:start w:val="1"/>
      <w:numFmt w:val="lowerLetter"/>
      <w:lvlText w:val="%5."/>
      <w:lvlJc w:val="left"/>
      <w:pPr>
        <w:ind w:left="3600" w:hanging="360"/>
      </w:pPr>
    </w:lvl>
    <w:lvl w:ilvl="5" w:tplc="1E866CA8" w:tentative="1">
      <w:start w:val="1"/>
      <w:numFmt w:val="lowerRoman"/>
      <w:lvlText w:val="%6."/>
      <w:lvlJc w:val="right"/>
      <w:pPr>
        <w:ind w:left="4320" w:hanging="180"/>
      </w:pPr>
    </w:lvl>
    <w:lvl w:ilvl="6" w:tplc="F77CD0BA" w:tentative="1">
      <w:start w:val="1"/>
      <w:numFmt w:val="decimal"/>
      <w:lvlText w:val="%7."/>
      <w:lvlJc w:val="left"/>
      <w:pPr>
        <w:ind w:left="5040" w:hanging="360"/>
      </w:pPr>
    </w:lvl>
    <w:lvl w:ilvl="7" w:tplc="FE34B20C" w:tentative="1">
      <w:start w:val="1"/>
      <w:numFmt w:val="lowerLetter"/>
      <w:lvlText w:val="%8."/>
      <w:lvlJc w:val="left"/>
      <w:pPr>
        <w:ind w:left="5760" w:hanging="360"/>
      </w:pPr>
    </w:lvl>
    <w:lvl w:ilvl="8" w:tplc="0A7CAB3E" w:tentative="1">
      <w:start w:val="1"/>
      <w:numFmt w:val="lowerRoman"/>
      <w:lvlText w:val="%9."/>
      <w:lvlJc w:val="right"/>
      <w:pPr>
        <w:ind w:left="6480" w:hanging="180"/>
      </w:pPr>
    </w:lvl>
  </w:abstractNum>
  <w:abstractNum w:abstractNumId="42">
    <w:nsid w:val="66EB1999"/>
    <w:multiLevelType w:val="hybridMultilevel"/>
    <w:tmpl w:val="93CA4A46"/>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2C3470"/>
    <w:multiLevelType w:val="hybridMultilevel"/>
    <w:tmpl w:val="C2E2D0A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4">
    <w:nsid w:val="6CED7D5B"/>
    <w:multiLevelType w:val="hybridMultilevel"/>
    <w:tmpl w:val="BE148C5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5">
    <w:nsid w:val="72352E19"/>
    <w:multiLevelType w:val="hybridMultilevel"/>
    <w:tmpl w:val="3C8E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387605D"/>
    <w:multiLevelType w:val="hybridMultilevel"/>
    <w:tmpl w:val="4222999A"/>
    <w:lvl w:ilvl="0" w:tplc="33163F56">
      <w:start w:val="1"/>
      <w:numFmt w:val="bullet"/>
      <w:lvlText w:val=""/>
      <w:lvlJc w:val="left"/>
      <w:pPr>
        <w:tabs>
          <w:tab w:val="num" w:pos="720"/>
        </w:tabs>
        <w:ind w:left="720" w:hanging="360"/>
      </w:pPr>
      <w:rPr>
        <w:rFonts w:ascii="Symbol" w:hAnsi="Symbol" w:hint="default"/>
      </w:rPr>
    </w:lvl>
    <w:lvl w:ilvl="1" w:tplc="331AB938" w:tentative="1">
      <w:start w:val="1"/>
      <w:numFmt w:val="bullet"/>
      <w:lvlText w:val="o"/>
      <w:lvlJc w:val="left"/>
      <w:pPr>
        <w:tabs>
          <w:tab w:val="num" w:pos="1440"/>
        </w:tabs>
        <w:ind w:left="1440" w:hanging="360"/>
      </w:pPr>
      <w:rPr>
        <w:rFonts w:ascii="Courier New" w:hAnsi="Courier New" w:cs="Courier New" w:hint="default"/>
      </w:rPr>
    </w:lvl>
    <w:lvl w:ilvl="2" w:tplc="07302DA6" w:tentative="1">
      <w:start w:val="1"/>
      <w:numFmt w:val="bullet"/>
      <w:lvlText w:val=""/>
      <w:lvlJc w:val="left"/>
      <w:pPr>
        <w:tabs>
          <w:tab w:val="num" w:pos="2160"/>
        </w:tabs>
        <w:ind w:left="2160" w:hanging="360"/>
      </w:pPr>
      <w:rPr>
        <w:rFonts w:ascii="Wingdings" w:hAnsi="Wingdings" w:hint="default"/>
      </w:rPr>
    </w:lvl>
    <w:lvl w:ilvl="3" w:tplc="7D54A27A" w:tentative="1">
      <w:start w:val="1"/>
      <w:numFmt w:val="bullet"/>
      <w:lvlText w:val=""/>
      <w:lvlJc w:val="left"/>
      <w:pPr>
        <w:tabs>
          <w:tab w:val="num" w:pos="2880"/>
        </w:tabs>
        <w:ind w:left="2880" w:hanging="360"/>
      </w:pPr>
      <w:rPr>
        <w:rFonts w:ascii="Symbol" w:hAnsi="Symbol" w:hint="default"/>
      </w:rPr>
    </w:lvl>
    <w:lvl w:ilvl="4" w:tplc="AA24D0B0" w:tentative="1">
      <w:start w:val="1"/>
      <w:numFmt w:val="bullet"/>
      <w:lvlText w:val="o"/>
      <w:lvlJc w:val="left"/>
      <w:pPr>
        <w:tabs>
          <w:tab w:val="num" w:pos="3600"/>
        </w:tabs>
        <w:ind w:left="3600" w:hanging="360"/>
      </w:pPr>
      <w:rPr>
        <w:rFonts w:ascii="Courier New" w:hAnsi="Courier New" w:cs="Courier New" w:hint="default"/>
      </w:rPr>
    </w:lvl>
    <w:lvl w:ilvl="5" w:tplc="9774AA88" w:tentative="1">
      <w:start w:val="1"/>
      <w:numFmt w:val="bullet"/>
      <w:lvlText w:val=""/>
      <w:lvlJc w:val="left"/>
      <w:pPr>
        <w:tabs>
          <w:tab w:val="num" w:pos="4320"/>
        </w:tabs>
        <w:ind w:left="4320" w:hanging="360"/>
      </w:pPr>
      <w:rPr>
        <w:rFonts w:ascii="Wingdings" w:hAnsi="Wingdings" w:hint="default"/>
      </w:rPr>
    </w:lvl>
    <w:lvl w:ilvl="6" w:tplc="B71ADAB4" w:tentative="1">
      <w:start w:val="1"/>
      <w:numFmt w:val="bullet"/>
      <w:lvlText w:val=""/>
      <w:lvlJc w:val="left"/>
      <w:pPr>
        <w:tabs>
          <w:tab w:val="num" w:pos="5040"/>
        </w:tabs>
        <w:ind w:left="5040" w:hanging="360"/>
      </w:pPr>
      <w:rPr>
        <w:rFonts w:ascii="Symbol" w:hAnsi="Symbol" w:hint="default"/>
      </w:rPr>
    </w:lvl>
    <w:lvl w:ilvl="7" w:tplc="D6EA6F9A" w:tentative="1">
      <w:start w:val="1"/>
      <w:numFmt w:val="bullet"/>
      <w:lvlText w:val="o"/>
      <w:lvlJc w:val="left"/>
      <w:pPr>
        <w:tabs>
          <w:tab w:val="num" w:pos="5760"/>
        </w:tabs>
        <w:ind w:left="5760" w:hanging="360"/>
      </w:pPr>
      <w:rPr>
        <w:rFonts w:ascii="Courier New" w:hAnsi="Courier New" w:cs="Courier New" w:hint="default"/>
      </w:rPr>
    </w:lvl>
    <w:lvl w:ilvl="8" w:tplc="F3EE9064" w:tentative="1">
      <w:start w:val="1"/>
      <w:numFmt w:val="bullet"/>
      <w:lvlText w:val=""/>
      <w:lvlJc w:val="left"/>
      <w:pPr>
        <w:tabs>
          <w:tab w:val="num" w:pos="6480"/>
        </w:tabs>
        <w:ind w:left="6480" w:hanging="360"/>
      </w:pPr>
      <w:rPr>
        <w:rFonts w:ascii="Wingdings" w:hAnsi="Wingdings" w:hint="default"/>
      </w:rPr>
    </w:lvl>
  </w:abstractNum>
  <w:abstractNum w:abstractNumId="47">
    <w:nsid w:val="75FC0CFE"/>
    <w:multiLevelType w:val="hybridMultilevel"/>
    <w:tmpl w:val="8E76F2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8A348AB"/>
    <w:multiLevelType w:val="multilevel"/>
    <w:tmpl w:val="9C04C80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B705926"/>
    <w:multiLevelType w:val="hybridMultilevel"/>
    <w:tmpl w:val="6B5AFA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4"/>
  </w:num>
  <w:num w:numId="3">
    <w:abstractNumId w:val="18"/>
  </w:num>
  <w:num w:numId="4">
    <w:abstractNumId w:val="15"/>
  </w:num>
  <w:num w:numId="5">
    <w:abstractNumId w:val="42"/>
  </w:num>
  <w:num w:numId="6">
    <w:abstractNumId w:val="44"/>
  </w:num>
  <w:num w:numId="7">
    <w:abstractNumId w:val="41"/>
  </w:num>
  <w:num w:numId="8">
    <w:abstractNumId w:val="33"/>
  </w:num>
  <w:num w:numId="9">
    <w:abstractNumId w:val="26"/>
  </w:num>
  <w:num w:numId="10">
    <w:abstractNumId w:val="10"/>
  </w:num>
  <w:num w:numId="11">
    <w:abstractNumId w:val="21"/>
  </w:num>
  <w:num w:numId="12">
    <w:abstractNumId w:val="11"/>
  </w:num>
  <w:num w:numId="13">
    <w:abstractNumId w:val="32"/>
  </w:num>
  <w:num w:numId="14">
    <w:abstractNumId w:val="22"/>
  </w:num>
  <w:num w:numId="15">
    <w:abstractNumId w:val="31"/>
  </w:num>
  <w:num w:numId="16">
    <w:abstractNumId w:val="3"/>
  </w:num>
  <w:num w:numId="17">
    <w:abstractNumId w:val="48"/>
  </w:num>
  <w:num w:numId="18">
    <w:abstractNumId w:val="45"/>
  </w:num>
  <w:num w:numId="19">
    <w:abstractNumId w:val="2"/>
  </w:num>
  <w:num w:numId="20">
    <w:abstractNumId w:val="46"/>
  </w:num>
  <w:num w:numId="21">
    <w:abstractNumId w:val="16"/>
  </w:num>
  <w:num w:numId="22">
    <w:abstractNumId w:val="25"/>
  </w:num>
  <w:num w:numId="23">
    <w:abstractNumId w:val="36"/>
  </w:num>
  <w:num w:numId="24">
    <w:abstractNumId w:val="24"/>
  </w:num>
  <w:num w:numId="25">
    <w:abstractNumId w:val="40"/>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0"/>
  </w:num>
  <w:num w:numId="29">
    <w:abstractNumId w:val="28"/>
  </w:num>
  <w:num w:numId="30">
    <w:abstractNumId w:val="37"/>
  </w:num>
  <w:num w:numId="31">
    <w:abstractNumId w:val="7"/>
  </w:num>
  <w:num w:numId="32">
    <w:abstractNumId w:val="12"/>
  </w:num>
  <w:num w:numId="33">
    <w:abstractNumId w:val="5"/>
  </w:num>
  <w:num w:numId="34">
    <w:abstractNumId w:val="35"/>
  </w:num>
  <w:num w:numId="35">
    <w:abstractNumId w:val="14"/>
  </w:num>
  <w:num w:numId="36">
    <w:abstractNumId w:val="19"/>
  </w:num>
  <w:num w:numId="37">
    <w:abstractNumId w:val="29"/>
  </w:num>
  <w:num w:numId="38">
    <w:abstractNumId w:val="8"/>
  </w:num>
  <w:num w:numId="39">
    <w:abstractNumId w:val="27"/>
  </w:num>
  <w:num w:numId="40">
    <w:abstractNumId w:val="23"/>
  </w:num>
  <w:num w:numId="41">
    <w:abstractNumId w:val="6"/>
  </w:num>
  <w:num w:numId="42">
    <w:abstractNumId w:val="34"/>
  </w:num>
  <w:num w:numId="43">
    <w:abstractNumId w:val="49"/>
  </w:num>
  <w:num w:numId="44">
    <w:abstractNumId w:val="20"/>
  </w:num>
  <w:num w:numId="45">
    <w:abstractNumId w:val="47"/>
  </w:num>
  <w:num w:numId="46">
    <w:abstractNumId w:val="43"/>
  </w:num>
  <w:num w:numId="47">
    <w:abstractNumId w:val="39"/>
  </w:num>
  <w:num w:numId="48">
    <w:abstractNumId w:val="30"/>
  </w:num>
  <w:num w:numId="49">
    <w:abstractNumId w:val="9"/>
  </w:num>
  <w:num w:numId="50">
    <w:abstractNumId w:val="1"/>
  </w:num>
  <w:num w:numId="51">
    <w:abstractNumId w:val="3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useFELayout/>
  </w:compat>
  <w:rsids>
    <w:rsidRoot w:val="000B7872"/>
    <w:rsid w:val="000017AC"/>
    <w:rsid w:val="00007414"/>
    <w:rsid w:val="000156DB"/>
    <w:rsid w:val="00015FD8"/>
    <w:rsid w:val="000311A2"/>
    <w:rsid w:val="0003194B"/>
    <w:rsid w:val="00042BD8"/>
    <w:rsid w:val="000434D5"/>
    <w:rsid w:val="00056AFB"/>
    <w:rsid w:val="0005716C"/>
    <w:rsid w:val="000774D2"/>
    <w:rsid w:val="00082E4A"/>
    <w:rsid w:val="0009266B"/>
    <w:rsid w:val="0009775D"/>
    <w:rsid w:val="000B4B1F"/>
    <w:rsid w:val="000B7872"/>
    <w:rsid w:val="000C08B5"/>
    <w:rsid w:val="000D3AAB"/>
    <w:rsid w:val="000E0266"/>
    <w:rsid w:val="000E4A14"/>
    <w:rsid w:val="00102F56"/>
    <w:rsid w:val="0011252C"/>
    <w:rsid w:val="00112F20"/>
    <w:rsid w:val="00117731"/>
    <w:rsid w:val="001271EE"/>
    <w:rsid w:val="00132B76"/>
    <w:rsid w:val="00132D38"/>
    <w:rsid w:val="00145FB3"/>
    <w:rsid w:val="0016629B"/>
    <w:rsid w:val="00173FC0"/>
    <w:rsid w:val="00175FEE"/>
    <w:rsid w:val="00181C0E"/>
    <w:rsid w:val="001859BA"/>
    <w:rsid w:val="00187F9E"/>
    <w:rsid w:val="00190333"/>
    <w:rsid w:val="001A0D11"/>
    <w:rsid w:val="001A286E"/>
    <w:rsid w:val="001A4319"/>
    <w:rsid w:val="001A48B2"/>
    <w:rsid w:val="001A6CC4"/>
    <w:rsid w:val="001B5A27"/>
    <w:rsid w:val="001D009C"/>
    <w:rsid w:val="001D3D1E"/>
    <w:rsid w:val="001E28E8"/>
    <w:rsid w:val="001F2000"/>
    <w:rsid w:val="001F38C8"/>
    <w:rsid w:val="00215589"/>
    <w:rsid w:val="00217343"/>
    <w:rsid w:val="002500C5"/>
    <w:rsid w:val="00255F97"/>
    <w:rsid w:val="0026301C"/>
    <w:rsid w:val="00273880"/>
    <w:rsid w:val="00282AB7"/>
    <w:rsid w:val="002866E0"/>
    <w:rsid w:val="002C4EDD"/>
    <w:rsid w:val="002D79C2"/>
    <w:rsid w:val="002E0D2A"/>
    <w:rsid w:val="002E24ED"/>
    <w:rsid w:val="00300797"/>
    <w:rsid w:val="00301328"/>
    <w:rsid w:val="00310603"/>
    <w:rsid w:val="00310BD2"/>
    <w:rsid w:val="00332691"/>
    <w:rsid w:val="0033514D"/>
    <w:rsid w:val="003369DA"/>
    <w:rsid w:val="00346C32"/>
    <w:rsid w:val="003475AB"/>
    <w:rsid w:val="00361F12"/>
    <w:rsid w:val="00362AA3"/>
    <w:rsid w:val="00365C18"/>
    <w:rsid w:val="00380790"/>
    <w:rsid w:val="003A1D94"/>
    <w:rsid w:val="003C0F88"/>
    <w:rsid w:val="003C21CB"/>
    <w:rsid w:val="003C449C"/>
    <w:rsid w:val="003D771A"/>
    <w:rsid w:val="003E7F67"/>
    <w:rsid w:val="003F4A2B"/>
    <w:rsid w:val="00405E81"/>
    <w:rsid w:val="00413BB0"/>
    <w:rsid w:val="00432643"/>
    <w:rsid w:val="0043614F"/>
    <w:rsid w:val="004379FF"/>
    <w:rsid w:val="00450552"/>
    <w:rsid w:val="004568E8"/>
    <w:rsid w:val="00460B0A"/>
    <w:rsid w:val="004732CB"/>
    <w:rsid w:val="0048289D"/>
    <w:rsid w:val="00484E03"/>
    <w:rsid w:val="0049242A"/>
    <w:rsid w:val="0049472B"/>
    <w:rsid w:val="0049542A"/>
    <w:rsid w:val="004A6748"/>
    <w:rsid w:val="004A6E2C"/>
    <w:rsid w:val="004C13B2"/>
    <w:rsid w:val="004C28A4"/>
    <w:rsid w:val="004E5844"/>
    <w:rsid w:val="004F4BDD"/>
    <w:rsid w:val="00504D31"/>
    <w:rsid w:val="00511A2B"/>
    <w:rsid w:val="00537AEF"/>
    <w:rsid w:val="00543221"/>
    <w:rsid w:val="00545A09"/>
    <w:rsid w:val="00545D11"/>
    <w:rsid w:val="0055723C"/>
    <w:rsid w:val="00564502"/>
    <w:rsid w:val="00565D8D"/>
    <w:rsid w:val="005706D8"/>
    <w:rsid w:val="005712F3"/>
    <w:rsid w:val="00575929"/>
    <w:rsid w:val="00582B65"/>
    <w:rsid w:val="0059346E"/>
    <w:rsid w:val="005B3878"/>
    <w:rsid w:val="005B428E"/>
    <w:rsid w:val="005C6A6F"/>
    <w:rsid w:val="005D2A28"/>
    <w:rsid w:val="005D5EF2"/>
    <w:rsid w:val="005E1B87"/>
    <w:rsid w:val="005F033D"/>
    <w:rsid w:val="0060354F"/>
    <w:rsid w:val="006165FE"/>
    <w:rsid w:val="00622118"/>
    <w:rsid w:val="0063527D"/>
    <w:rsid w:val="00645071"/>
    <w:rsid w:val="0064510E"/>
    <w:rsid w:val="0066379C"/>
    <w:rsid w:val="0066508B"/>
    <w:rsid w:val="00670B9E"/>
    <w:rsid w:val="00670D2B"/>
    <w:rsid w:val="00674B7C"/>
    <w:rsid w:val="0067781B"/>
    <w:rsid w:val="006843F6"/>
    <w:rsid w:val="00687403"/>
    <w:rsid w:val="006B52BF"/>
    <w:rsid w:val="006B5DDB"/>
    <w:rsid w:val="006C15E8"/>
    <w:rsid w:val="006C73CD"/>
    <w:rsid w:val="006E54E5"/>
    <w:rsid w:val="006F606E"/>
    <w:rsid w:val="00724201"/>
    <w:rsid w:val="007260E9"/>
    <w:rsid w:val="0073068C"/>
    <w:rsid w:val="00742724"/>
    <w:rsid w:val="00760EE4"/>
    <w:rsid w:val="00763DA4"/>
    <w:rsid w:val="0076767B"/>
    <w:rsid w:val="007826A5"/>
    <w:rsid w:val="00782713"/>
    <w:rsid w:val="00783842"/>
    <w:rsid w:val="00787C1D"/>
    <w:rsid w:val="00787F98"/>
    <w:rsid w:val="00791343"/>
    <w:rsid w:val="00796203"/>
    <w:rsid w:val="007A3221"/>
    <w:rsid w:val="007A433D"/>
    <w:rsid w:val="007B22BD"/>
    <w:rsid w:val="007B4BB4"/>
    <w:rsid w:val="007C6C02"/>
    <w:rsid w:val="007C74AE"/>
    <w:rsid w:val="007D3C3E"/>
    <w:rsid w:val="007D4B97"/>
    <w:rsid w:val="008005AB"/>
    <w:rsid w:val="00807188"/>
    <w:rsid w:val="00815326"/>
    <w:rsid w:val="008227B5"/>
    <w:rsid w:val="00822915"/>
    <w:rsid w:val="00823EE1"/>
    <w:rsid w:val="008262C1"/>
    <w:rsid w:val="0082707A"/>
    <w:rsid w:val="008338B5"/>
    <w:rsid w:val="00835E75"/>
    <w:rsid w:val="00850AAC"/>
    <w:rsid w:val="008601FE"/>
    <w:rsid w:val="008648C2"/>
    <w:rsid w:val="00881321"/>
    <w:rsid w:val="0088502A"/>
    <w:rsid w:val="0089496D"/>
    <w:rsid w:val="008A5B73"/>
    <w:rsid w:val="008B1AE1"/>
    <w:rsid w:val="008B3248"/>
    <w:rsid w:val="008C398D"/>
    <w:rsid w:val="008C6416"/>
    <w:rsid w:val="008E63E0"/>
    <w:rsid w:val="008F656D"/>
    <w:rsid w:val="0091421B"/>
    <w:rsid w:val="00915E98"/>
    <w:rsid w:val="00925F87"/>
    <w:rsid w:val="00940E82"/>
    <w:rsid w:val="00943C4D"/>
    <w:rsid w:val="009458D5"/>
    <w:rsid w:val="00953DE2"/>
    <w:rsid w:val="009645AE"/>
    <w:rsid w:val="0097215B"/>
    <w:rsid w:val="0098377C"/>
    <w:rsid w:val="00993B33"/>
    <w:rsid w:val="009A007F"/>
    <w:rsid w:val="009A1BCE"/>
    <w:rsid w:val="009A1E4C"/>
    <w:rsid w:val="009A7E5A"/>
    <w:rsid w:val="009C5EDD"/>
    <w:rsid w:val="009F3175"/>
    <w:rsid w:val="009F39EB"/>
    <w:rsid w:val="009F4C23"/>
    <w:rsid w:val="00A069B4"/>
    <w:rsid w:val="00A06E74"/>
    <w:rsid w:val="00A10244"/>
    <w:rsid w:val="00A14657"/>
    <w:rsid w:val="00A16D16"/>
    <w:rsid w:val="00A17E04"/>
    <w:rsid w:val="00A340DD"/>
    <w:rsid w:val="00A41E55"/>
    <w:rsid w:val="00A4387E"/>
    <w:rsid w:val="00A52017"/>
    <w:rsid w:val="00A60444"/>
    <w:rsid w:val="00A758C2"/>
    <w:rsid w:val="00A76E9C"/>
    <w:rsid w:val="00A854AC"/>
    <w:rsid w:val="00A85E40"/>
    <w:rsid w:val="00A90006"/>
    <w:rsid w:val="00A96215"/>
    <w:rsid w:val="00AC09F3"/>
    <w:rsid w:val="00AD7FE5"/>
    <w:rsid w:val="00AE002B"/>
    <w:rsid w:val="00AE7461"/>
    <w:rsid w:val="00AE7831"/>
    <w:rsid w:val="00B00709"/>
    <w:rsid w:val="00B06CF3"/>
    <w:rsid w:val="00B14B9F"/>
    <w:rsid w:val="00B1667B"/>
    <w:rsid w:val="00B25846"/>
    <w:rsid w:val="00B25F71"/>
    <w:rsid w:val="00B278DE"/>
    <w:rsid w:val="00B27B08"/>
    <w:rsid w:val="00B31D8C"/>
    <w:rsid w:val="00B46ABF"/>
    <w:rsid w:val="00B65E0A"/>
    <w:rsid w:val="00B866AF"/>
    <w:rsid w:val="00B97246"/>
    <w:rsid w:val="00BA491C"/>
    <w:rsid w:val="00BA6903"/>
    <w:rsid w:val="00BB2610"/>
    <w:rsid w:val="00BC0CC2"/>
    <w:rsid w:val="00BC72F6"/>
    <w:rsid w:val="00BD287E"/>
    <w:rsid w:val="00BD583D"/>
    <w:rsid w:val="00BE0F9C"/>
    <w:rsid w:val="00BE1483"/>
    <w:rsid w:val="00BE345F"/>
    <w:rsid w:val="00BE3D9E"/>
    <w:rsid w:val="00BE5F89"/>
    <w:rsid w:val="00BF2FE6"/>
    <w:rsid w:val="00BF32FF"/>
    <w:rsid w:val="00BF4E33"/>
    <w:rsid w:val="00BF712E"/>
    <w:rsid w:val="00C107A4"/>
    <w:rsid w:val="00C12127"/>
    <w:rsid w:val="00C13145"/>
    <w:rsid w:val="00C135FE"/>
    <w:rsid w:val="00C1621F"/>
    <w:rsid w:val="00C20163"/>
    <w:rsid w:val="00C21C53"/>
    <w:rsid w:val="00C31C87"/>
    <w:rsid w:val="00C33C8E"/>
    <w:rsid w:val="00C42F4D"/>
    <w:rsid w:val="00CA37F9"/>
    <w:rsid w:val="00CC3B73"/>
    <w:rsid w:val="00CC6AF5"/>
    <w:rsid w:val="00CC73B5"/>
    <w:rsid w:val="00CD155D"/>
    <w:rsid w:val="00CE0441"/>
    <w:rsid w:val="00CE57FA"/>
    <w:rsid w:val="00CE75D6"/>
    <w:rsid w:val="00CF61B9"/>
    <w:rsid w:val="00D0145E"/>
    <w:rsid w:val="00D100BD"/>
    <w:rsid w:val="00D121B6"/>
    <w:rsid w:val="00D23CE0"/>
    <w:rsid w:val="00D35A12"/>
    <w:rsid w:val="00D378E8"/>
    <w:rsid w:val="00D422F8"/>
    <w:rsid w:val="00D44554"/>
    <w:rsid w:val="00D50B4D"/>
    <w:rsid w:val="00D53751"/>
    <w:rsid w:val="00D57FF1"/>
    <w:rsid w:val="00D63F9C"/>
    <w:rsid w:val="00D64F9A"/>
    <w:rsid w:val="00D72710"/>
    <w:rsid w:val="00D81732"/>
    <w:rsid w:val="00D86871"/>
    <w:rsid w:val="00D92531"/>
    <w:rsid w:val="00D933B2"/>
    <w:rsid w:val="00D9360C"/>
    <w:rsid w:val="00DB06F8"/>
    <w:rsid w:val="00DB3C15"/>
    <w:rsid w:val="00DB502E"/>
    <w:rsid w:val="00DC4801"/>
    <w:rsid w:val="00DC6C56"/>
    <w:rsid w:val="00DD192C"/>
    <w:rsid w:val="00DD19A1"/>
    <w:rsid w:val="00DD6D92"/>
    <w:rsid w:val="00DE0688"/>
    <w:rsid w:val="00DE517F"/>
    <w:rsid w:val="00DF2D28"/>
    <w:rsid w:val="00E15F25"/>
    <w:rsid w:val="00E30A58"/>
    <w:rsid w:val="00E359F3"/>
    <w:rsid w:val="00E4221F"/>
    <w:rsid w:val="00E44741"/>
    <w:rsid w:val="00E5614B"/>
    <w:rsid w:val="00E62E1C"/>
    <w:rsid w:val="00E66935"/>
    <w:rsid w:val="00E724FF"/>
    <w:rsid w:val="00E77EB7"/>
    <w:rsid w:val="00E83E1D"/>
    <w:rsid w:val="00E90830"/>
    <w:rsid w:val="00EA3B8B"/>
    <w:rsid w:val="00EB7EA1"/>
    <w:rsid w:val="00EC20D8"/>
    <w:rsid w:val="00ED1DAC"/>
    <w:rsid w:val="00ED50C0"/>
    <w:rsid w:val="00F00C1E"/>
    <w:rsid w:val="00F16624"/>
    <w:rsid w:val="00F202DF"/>
    <w:rsid w:val="00F27CD1"/>
    <w:rsid w:val="00F3533D"/>
    <w:rsid w:val="00F367CD"/>
    <w:rsid w:val="00F36EF1"/>
    <w:rsid w:val="00F748FE"/>
    <w:rsid w:val="00F7655F"/>
    <w:rsid w:val="00F82637"/>
    <w:rsid w:val="00F86506"/>
    <w:rsid w:val="00F9007D"/>
    <w:rsid w:val="00F957A6"/>
    <w:rsid w:val="00FC380C"/>
    <w:rsid w:val="00FC7B53"/>
    <w:rsid w:val="00FD7E40"/>
    <w:rsid w:val="00FE4FE3"/>
    <w:rsid w:val="00FE7080"/>
    <w:rsid w:val="00FF3F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68E8"/>
  </w:style>
  <w:style w:type="paragraph" w:styleId="Heading1">
    <w:name w:val="heading 1"/>
    <w:basedOn w:val="Normal"/>
    <w:next w:val="Normal"/>
    <w:link w:val="Heading1Char"/>
    <w:uiPriority w:val="9"/>
    <w:qFormat/>
    <w:rsid w:val="004568E8"/>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4568E8"/>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4568E8"/>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4568E8"/>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4568E8"/>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4568E8"/>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unhideWhenUsed/>
    <w:qFormat/>
    <w:rsid w:val="004568E8"/>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unhideWhenUsed/>
    <w:qFormat/>
    <w:rsid w:val="004568E8"/>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unhideWhenUsed/>
    <w:qFormat/>
    <w:rsid w:val="004568E8"/>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289D"/>
    <w:pPr>
      <w:tabs>
        <w:tab w:val="center" w:pos="4680"/>
        <w:tab w:val="right" w:pos="9360"/>
      </w:tabs>
    </w:pPr>
  </w:style>
  <w:style w:type="character" w:customStyle="1" w:styleId="HeaderChar">
    <w:name w:val="Header Char"/>
    <w:basedOn w:val="DefaultParagraphFont"/>
    <w:link w:val="Header"/>
    <w:uiPriority w:val="99"/>
    <w:rsid w:val="0048289D"/>
    <w:rPr>
      <w:sz w:val="24"/>
      <w:szCs w:val="24"/>
    </w:rPr>
  </w:style>
  <w:style w:type="paragraph" w:styleId="Footer">
    <w:name w:val="footer"/>
    <w:basedOn w:val="Normal"/>
    <w:link w:val="FooterChar"/>
    <w:uiPriority w:val="99"/>
    <w:rsid w:val="0048289D"/>
    <w:pPr>
      <w:tabs>
        <w:tab w:val="center" w:pos="4680"/>
        <w:tab w:val="right" w:pos="9360"/>
      </w:tabs>
    </w:pPr>
  </w:style>
  <w:style w:type="character" w:customStyle="1" w:styleId="FooterChar">
    <w:name w:val="Footer Char"/>
    <w:basedOn w:val="DefaultParagraphFont"/>
    <w:link w:val="Footer"/>
    <w:uiPriority w:val="99"/>
    <w:rsid w:val="0048289D"/>
    <w:rPr>
      <w:sz w:val="24"/>
      <w:szCs w:val="24"/>
    </w:rPr>
  </w:style>
  <w:style w:type="paragraph" w:styleId="BalloonText">
    <w:name w:val="Balloon Text"/>
    <w:basedOn w:val="Normal"/>
    <w:link w:val="BalloonTextChar"/>
    <w:rsid w:val="0048289D"/>
    <w:rPr>
      <w:rFonts w:ascii="Tahoma" w:hAnsi="Tahoma" w:cs="Tahoma"/>
      <w:sz w:val="16"/>
      <w:szCs w:val="16"/>
    </w:rPr>
  </w:style>
  <w:style w:type="character" w:customStyle="1" w:styleId="BalloonTextChar">
    <w:name w:val="Balloon Text Char"/>
    <w:basedOn w:val="DefaultParagraphFont"/>
    <w:link w:val="BalloonText"/>
    <w:rsid w:val="0048289D"/>
    <w:rPr>
      <w:rFonts w:ascii="Tahoma" w:hAnsi="Tahoma" w:cs="Tahoma"/>
      <w:sz w:val="16"/>
      <w:szCs w:val="16"/>
    </w:rPr>
  </w:style>
  <w:style w:type="paragraph" w:styleId="ListParagraph">
    <w:name w:val="List Paragraph"/>
    <w:basedOn w:val="Normal"/>
    <w:uiPriority w:val="34"/>
    <w:qFormat/>
    <w:rsid w:val="004568E8"/>
    <w:pPr>
      <w:ind w:left="720"/>
      <w:contextualSpacing/>
    </w:pPr>
  </w:style>
  <w:style w:type="paragraph" w:styleId="FootnoteText">
    <w:name w:val="footnote text"/>
    <w:basedOn w:val="Normal"/>
    <w:link w:val="FootnoteTextChar"/>
    <w:rsid w:val="00AE002B"/>
    <w:rPr>
      <w:sz w:val="20"/>
      <w:szCs w:val="20"/>
    </w:rPr>
  </w:style>
  <w:style w:type="character" w:customStyle="1" w:styleId="FootnoteTextChar">
    <w:name w:val="Footnote Text Char"/>
    <w:basedOn w:val="DefaultParagraphFont"/>
    <w:link w:val="FootnoteText"/>
    <w:rsid w:val="00AE002B"/>
  </w:style>
  <w:style w:type="character" w:styleId="FootnoteReference">
    <w:name w:val="footnote reference"/>
    <w:basedOn w:val="DefaultParagraphFont"/>
    <w:rsid w:val="00AE002B"/>
    <w:rPr>
      <w:vertAlign w:val="superscript"/>
    </w:rPr>
  </w:style>
  <w:style w:type="character" w:styleId="Hyperlink">
    <w:name w:val="Hyperlink"/>
    <w:basedOn w:val="DefaultParagraphFont"/>
    <w:uiPriority w:val="99"/>
    <w:rsid w:val="00AE002B"/>
    <w:rPr>
      <w:color w:val="0000FF" w:themeColor="hyperlink"/>
      <w:u w:val="single"/>
    </w:rPr>
  </w:style>
  <w:style w:type="character" w:styleId="FollowedHyperlink">
    <w:name w:val="FollowedHyperlink"/>
    <w:basedOn w:val="DefaultParagraphFont"/>
    <w:rsid w:val="002E0D2A"/>
    <w:rPr>
      <w:color w:val="800080" w:themeColor="followedHyperlink"/>
      <w:u w:val="single"/>
    </w:rPr>
  </w:style>
  <w:style w:type="paragraph" w:styleId="BodyText">
    <w:name w:val="Body Text"/>
    <w:basedOn w:val="Normal"/>
    <w:link w:val="BodyTextChar"/>
    <w:rsid w:val="0060354F"/>
    <w:pPr>
      <w:spacing w:after="120"/>
      <w:ind w:firstLine="720"/>
    </w:pPr>
    <w:rPr>
      <w:szCs w:val="20"/>
    </w:rPr>
  </w:style>
  <w:style w:type="character" w:customStyle="1" w:styleId="BodyTextChar">
    <w:name w:val="Body Text Char"/>
    <w:basedOn w:val="DefaultParagraphFont"/>
    <w:link w:val="BodyText"/>
    <w:rsid w:val="0060354F"/>
    <w:rPr>
      <w:sz w:val="22"/>
    </w:rPr>
  </w:style>
  <w:style w:type="character" w:customStyle="1" w:styleId="Heading1Char">
    <w:name w:val="Heading 1 Char"/>
    <w:basedOn w:val="DefaultParagraphFont"/>
    <w:link w:val="Heading1"/>
    <w:uiPriority w:val="9"/>
    <w:rsid w:val="004568E8"/>
    <w:rPr>
      <w:smallCaps/>
      <w:spacing w:val="5"/>
      <w:sz w:val="36"/>
      <w:szCs w:val="36"/>
    </w:rPr>
  </w:style>
  <w:style w:type="paragraph" w:customStyle="1" w:styleId="sig-eb">
    <w:name w:val="sig-eb"/>
    <w:rsid w:val="00DE0688"/>
    <w:rPr>
      <w:sz w:val="24"/>
      <w:szCs w:val="24"/>
    </w:rPr>
  </w:style>
  <w:style w:type="paragraph" w:styleId="Title">
    <w:name w:val="Title"/>
    <w:basedOn w:val="Normal"/>
    <w:next w:val="Normal"/>
    <w:link w:val="TitleChar"/>
    <w:uiPriority w:val="10"/>
    <w:qFormat/>
    <w:rsid w:val="004568E8"/>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568E8"/>
    <w:rPr>
      <w:smallCaps/>
      <w:sz w:val="52"/>
      <w:szCs w:val="52"/>
    </w:rPr>
  </w:style>
  <w:style w:type="paragraph" w:customStyle="1" w:styleId="HED1Text">
    <w:name w:val="HED 1 Text"/>
    <w:autoRedefine/>
    <w:rsid w:val="00D422F8"/>
    <w:pPr>
      <w:spacing w:after="240"/>
    </w:pPr>
    <w:rPr>
      <w:rFonts w:cs="Arial"/>
      <w:bCs/>
      <w:kern w:val="32"/>
      <w:sz w:val="24"/>
      <w:szCs w:val="32"/>
    </w:rPr>
  </w:style>
  <w:style w:type="paragraph" w:customStyle="1" w:styleId="HED2Text">
    <w:name w:val="HED 2 Text"/>
    <w:autoRedefine/>
    <w:rsid w:val="006165FE"/>
    <w:pPr>
      <w:spacing w:after="240"/>
    </w:pPr>
    <w:rPr>
      <w:rFonts w:cs="Arial"/>
      <w:iCs/>
      <w:kern w:val="32"/>
      <w:sz w:val="24"/>
      <w:szCs w:val="32"/>
    </w:rPr>
  </w:style>
  <w:style w:type="character" w:customStyle="1" w:styleId="Heading2Char">
    <w:name w:val="Heading 2 Char"/>
    <w:basedOn w:val="DefaultParagraphFont"/>
    <w:link w:val="Heading2"/>
    <w:uiPriority w:val="9"/>
    <w:rsid w:val="004568E8"/>
    <w:rPr>
      <w:smallCaps/>
      <w:sz w:val="28"/>
      <w:szCs w:val="28"/>
    </w:rPr>
  </w:style>
  <w:style w:type="character" w:customStyle="1" w:styleId="Heading3Char">
    <w:name w:val="Heading 3 Char"/>
    <w:basedOn w:val="DefaultParagraphFont"/>
    <w:link w:val="Heading3"/>
    <w:uiPriority w:val="9"/>
    <w:rsid w:val="004568E8"/>
    <w:rPr>
      <w:i/>
      <w:iCs/>
      <w:smallCaps/>
      <w:spacing w:val="5"/>
      <w:sz w:val="26"/>
      <w:szCs w:val="26"/>
    </w:rPr>
  </w:style>
  <w:style w:type="character" w:customStyle="1" w:styleId="Heading4Char">
    <w:name w:val="Heading 4 Char"/>
    <w:basedOn w:val="DefaultParagraphFont"/>
    <w:link w:val="Heading4"/>
    <w:uiPriority w:val="9"/>
    <w:rsid w:val="004568E8"/>
    <w:rPr>
      <w:b/>
      <w:bCs/>
      <w:spacing w:val="5"/>
      <w:sz w:val="24"/>
      <w:szCs w:val="24"/>
    </w:rPr>
  </w:style>
  <w:style w:type="character" w:customStyle="1" w:styleId="Heading5Char">
    <w:name w:val="Heading 5 Char"/>
    <w:basedOn w:val="DefaultParagraphFont"/>
    <w:link w:val="Heading5"/>
    <w:uiPriority w:val="9"/>
    <w:rsid w:val="004568E8"/>
    <w:rPr>
      <w:i/>
      <w:iCs/>
      <w:sz w:val="24"/>
      <w:szCs w:val="24"/>
    </w:rPr>
  </w:style>
  <w:style w:type="character" w:customStyle="1" w:styleId="Heading6Char">
    <w:name w:val="Heading 6 Char"/>
    <w:basedOn w:val="DefaultParagraphFont"/>
    <w:link w:val="Heading6"/>
    <w:uiPriority w:val="9"/>
    <w:rsid w:val="004568E8"/>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rsid w:val="004568E8"/>
    <w:rPr>
      <w:b/>
      <w:bCs/>
      <w:i/>
      <w:iCs/>
      <w:color w:val="5A5A5A" w:themeColor="text1" w:themeTint="A5"/>
      <w:sz w:val="20"/>
      <w:szCs w:val="20"/>
    </w:rPr>
  </w:style>
  <w:style w:type="character" w:customStyle="1" w:styleId="Heading8Char">
    <w:name w:val="Heading 8 Char"/>
    <w:basedOn w:val="DefaultParagraphFont"/>
    <w:link w:val="Heading8"/>
    <w:uiPriority w:val="9"/>
    <w:rsid w:val="004568E8"/>
    <w:rPr>
      <w:b/>
      <w:bCs/>
      <w:color w:val="7F7F7F" w:themeColor="text1" w:themeTint="80"/>
      <w:sz w:val="20"/>
      <w:szCs w:val="20"/>
    </w:rPr>
  </w:style>
  <w:style w:type="character" w:customStyle="1" w:styleId="Heading9Char">
    <w:name w:val="Heading 9 Char"/>
    <w:basedOn w:val="DefaultParagraphFont"/>
    <w:link w:val="Heading9"/>
    <w:uiPriority w:val="9"/>
    <w:rsid w:val="004568E8"/>
    <w:rPr>
      <w:b/>
      <w:bCs/>
      <w:i/>
      <w:iCs/>
      <w:color w:val="7F7F7F" w:themeColor="text1" w:themeTint="80"/>
      <w:sz w:val="18"/>
      <w:szCs w:val="18"/>
    </w:rPr>
  </w:style>
  <w:style w:type="numbering" w:customStyle="1" w:styleId="StyleBulleted">
    <w:name w:val="Style Bulleted"/>
    <w:basedOn w:val="NoList"/>
    <w:rsid w:val="006165FE"/>
    <w:pPr>
      <w:numPr>
        <w:numId w:val="21"/>
      </w:numPr>
    </w:pPr>
  </w:style>
  <w:style w:type="paragraph" w:customStyle="1" w:styleId="NormalEspecial">
    <w:name w:val="Normal Especial"/>
    <w:basedOn w:val="Normal"/>
    <w:rsid w:val="006165FE"/>
    <w:pPr>
      <w:spacing w:before="80" w:line="300" w:lineRule="atLeast"/>
      <w:jc w:val="both"/>
    </w:pPr>
    <w:rPr>
      <w:rFonts w:ascii="Minion" w:hAnsi="Minion"/>
    </w:rPr>
  </w:style>
  <w:style w:type="numbering" w:customStyle="1" w:styleId="StyleNumbered">
    <w:name w:val="Style Numbered"/>
    <w:basedOn w:val="NoList"/>
    <w:rsid w:val="006165FE"/>
    <w:pPr>
      <w:numPr>
        <w:numId w:val="24"/>
      </w:numPr>
    </w:pPr>
  </w:style>
  <w:style w:type="paragraph" w:customStyle="1" w:styleId="Styleiii">
    <w:name w:val="Style iii"/>
    <w:basedOn w:val="NormalEspecial"/>
    <w:rsid w:val="006165FE"/>
    <w:pPr>
      <w:numPr>
        <w:numId w:val="29"/>
      </w:numPr>
    </w:pPr>
  </w:style>
  <w:style w:type="paragraph" w:customStyle="1" w:styleId="Stylea">
    <w:name w:val="Style (a)"/>
    <w:basedOn w:val="NormalEspecial"/>
    <w:rsid w:val="006165FE"/>
    <w:pPr>
      <w:numPr>
        <w:numId w:val="30"/>
      </w:numPr>
    </w:pPr>
  </w:style>
  <w:style w:type="paragraph" w:customStyle="1" w:styleId="Caixadetexto">
    <w:name w:val="Caixa de texto"/>
    <w:basedOn w:val="Normal"/>
    <w:rsid w:val="006165FE"/>
    <w:pPr>
      <w:framePr w:w="8300" w:wrap="notBeside" w:vAnchor="text" w:hAnchor="text" w:y="81"/>
      <w:pBdr>
        <w:top w:val="single" w:sz="4" w:space="4" w:color="DDDDDD"/>
        <w:left w:val="single" w:sz="4" w:space="8" w:color="DDDDDD"/>
        <w:bottom w:val="single" w:sz="4" w:space="8" w:color="DDDDDD"/>
        <w:right w:val="single" w:sz="4" w:space="8" w:color="DDDDDD"/>
      </w:pBdr>
      <w:shd w:val="clear" w:color="auto" w:fill="E6E6E6"/>
      <w:spacing w:before="150" w:line="300" w:lineRule="atLeast"/>
      <w:ind w:left="180" w:right="200"/>
      <w:jc w:val="both"/>
    </w:pPr>
    <w:rPr>
      <w:rFonts w:ascii="Minion" w:hAnsi="Minion"/>
      <w:lang w:val="pt-BR"/>
    </w:rPr>
  </w:style>
  <w:style w:type="paragraph" w:customStyle="1" w:styleId="LegendaFigura">
    <w:name w:val="Legenda Figura"/>
    <w:basedOn w:val="Normal"/>
    <w:next w:val="Normal"/>
    <w:rsid w:val="006165FE"/>
    <w:pPr>
      <w:keepLines/>
      <w:spacing w:line="240" w:lineRule="exact"/>
      <w:jc w:val="center"/>
    </w:pPr>
    <w:rPr>
      <w:rFonts w:ascii="Myriad Pro" w:hAnsi="Myriad Pro"/>
      <w:b/>
      <w:sz w:val="18"/>
      <w:lang w:val="pt-BR"/>
    </w:rPr>
  </w:style>
  <w:style w:type="character" w:styleId="PageNumber">
    <w:name w:val="page number"/>
    <w:rsid w:val="006165FE"/>
    <w:rPr>
      <w:rFonts w:ascii="Myriad Pro" w:hAnsi="Myriad Pro"/>
    </w:rPr>
  </w:style>
  <w:style w:type="paragraph" w:customStyle="1" w:styleId="Heading0">
    <w:name w:val="Heading 0"/>
    <w:basedOn w:val="Heading2"/>
    <w:next w:val="Normal"/>
    <w:rsid w:val="006165FE"/>
    <w:pPr>
      <w:numPr>
        <w:ilvl w:val="1"/>
      </w:numPr>
      <w:pBdr>
        <w:bottom w:val="single" w:sz="4" w:space="2" w:color="3B426A"/>
      </w:pBdr>
      <w:tabs>
        <w:tab w:val="num" w:pos="576"/>
      </w:tabs>
      <w:spacing w:before="480" w:after="300" w:line="300" w:lineRule="atLeast"/>
      <w:ind w:left="20" w:right="40" w:hanging="576"/>
      <w:jc w:val="both"/>
    </w:pPr>
    <w:rPr>
      <w:rFonts w:ascii="Myriad Pro" w:eastAsia="Times New Roman" w:hAnsi="Myriad Pro" w:cs="Arial"/>
      <w:iCs/>
      <w:color w:val="3B426A"/>
      <w:sz w:val="24"/>
      <w:lang w:val="pt-BR"/>
    </w:rPr>
  </w:style>
  <w:style w:type="paragraph" w:customStyle="1" w:styleId="DestaqueFormula">
    <w:name w:val="Destaque/Formula"/>
    <w:basedOn w:val="Normal"/>
    <w:rsid w:val="006165FE"/>
    <w:pPr>
      <w:spacing w:before="150" w:line="300" w:lineRule="atLeast"/>
      <w:ind w:left="360" w:right="360"/>
      <w:jc w:val="both"/>
    </w:pPr>
    <w:rPr>
      <w:rFonts w:ascii="Minion" w:hAnsi="Minion"/>
    </w:rPr>
  </w:style>
  <w:style w:type="character" w:customStyle="1" w:styleId="EmphasysModel">
    <w:name w:val="Emphasys Model"/>
    <w:rsid w:val="006165FE"/>
    <w:rPr>
      <w:b/>
      <w:i/>
    </w:rPr>
  </w:style>
  <w:style w:type="paragraph" w:customStyle="1" w:styleId="FiguraCOMlegenda">
    <w:name w:val="Figura COM legenda"/>
    <w:basedOn w:val="LegendaFigura"/>
    <w:rsid w:val="006165FE"/>
    <w:pPr>
      <w:keepNext/>
      <w:spacing w:line="240" w:lineRule="auto"/>
    </w:pPr>
  </w:style>
  <w:style w:type="paragraph" w:customStyle="1" w:styleId="FiguraSEMlegenda">
    <w:name w:val="Figura SEM legenda"/>
    <w:basedOn w:val="FiguraCOMlegenda"/>
    <w:next w:val="Normal"/>
    <w:rsid w:val="006165FE"/>
    <w:pPr>
      <w:keepNext w:val="0"/>
      <w:keepLines w:val="0"/>
    </w:pPr>
  </w:style>
  <w:style w:type="paragraph" w:customStyle="1" w:styleId="TabelaCOMlegenda">
    <w:name w:val="Tabela COM legenda"/>
    <w:basedOn w:val="FiguraCOMlegenda"/>
    <w:next w:val="Normal"/>
    <w:rsid w:val="006165FE"/>
    <w:pPr>
      <w:keepNext w:val="0"/>
    </w:pPr>
  </w:style>
  <w:style w:type="paragraph" w:customStyle="1" w:styleId="LegendaTabela">
    <w:name w:val="Legenda Tabela"/>
    <w:basedOn w:val="TabelaCOMlegenda"/>
    <w:next w:val="TabelaCOMlegenda"/>
    <w:rsid w:val="006165FE"/>
    <w:pPr>
      <w:keepNext/>
    </w:pPr>
  </w:style>
  <w:style w:type="paragraph" w:customStyle="1" w:styleId="Titulo">
    <w:name w:val="Titulo"/>
    <w:rsid w:val="006165FE"/>
    <w:pPr>
      <w:spacing w:before="240" w:after="150" w:line="240" w:lineRule="atLeast"/>
    </w:pPr>
    <w:rPr>
      <w:rFonts w:ascii="Myriad Pro" w:hAnsi="Myriad Pro" w:cs="Arial"/>
      <w:b/>
      <w:bCs/>
      <w:color w:val="595959"/>
      <w:kern w:val="32"/>
      <w:sz w:val="54"/>
      <w:szCs w:val="32"/>
      <w:lang w:val="pt-BR"/>
    </w:rPr>
  </w:style>
  <w:style w:type="paragraph" w:customStyle="1" w:styleId="SubTitulo">
    <w:name w:val="SubTitulo"/>
    <w:basedOn w:val="Titulo"/>
    <w:next w:val="Titulo"/>
    <w:rsid w:val="006165FE"/>
    <w:pPr>
      <w:spacing w:before="150" w:after="900"/>
    </w:pPr>
    <w:rPr>
      <w:sz w:val="40"/>
    </w:rPr>
  </w:style>
  <w:style w:type="paragraph" w:customStyle="1" w:styleId="Rodape">
    <w:name w:val="Rodape"/>
    <w:basedOn w:val="Normal"/>
    <w:rsid w:val="006165FE"/>
    <w:pPr>
      <w:spacing w:before="40" w:line="240" w:lineRule="exact"/>
      <w:ind w:right="360"/>
      <w:jc w:val="right"/>
    </w:pPr>
    <w:rPr>
      <w:rFonts w:ascii="Myriad Pro" w:hAnsi="Myriad Pro"/>
      <w:b/>
      <w:color w:val="FFFFFF"/>
      <w:sz w:val="18"/>
      <w:lang w:val="pt-BR"/>
    </w:rPr>
  </w:style>
  <w:style w:type="paragraph" w:customStyle="1" w:styleId="Cliente">
    <w:name w:val="Cliente"/>
    <w:basedOn w:val="Titulo"/>
    <w:rsid w:val="006165FE"/>
    <w:pPr>
      <w:spacing w:before="0" w:after="700"/>
    </w:pPr>
    <w:rPr>
      <w:caps/>
      <w:sz w:val="40"/>
    </w:rPr>
  </w:style>
  <w:style w:type="paragraph" w:customStyle="1" w:styleId="Data">
    <w:name w:val="Data"/>
    <w:basedOn w:val="Cliente"/>
    <w:rsid w:val="006165FE"/>
    <w:pPr>
      <w:spacing w:before="500" w:after="600"/>
    </w:pPr>
    <w:rPr>
      <w:b w:val="0"/>
      <w:caps w:val="0"/>
      <w:sz w:val="32"/>
    </w:rPr>
  </w:style>
  <w:style w:type="paragraph" w:styleId="TOC1">
    <w:name w:val="toc 1"/>
    <w:basedOn w:val="Normal"/>
    <w:next w:val="Normal"/>
    <w:autoRedefine/>
    <w:uiPriority w:val="39"/>
    <w:rsid w:val="006165FE"/>
    <w:pPr>
      <w:tabs>
        <w:tab w:val="left" w:pos="216"/>
        <w:tab w:val="right" w:leader="dot" w:pos="8294"/>
      </w:tabs>
      <w:spacing w:before="150" w:line="300" w:lineRule="atLeast"/>
      <w:jc w:val="both"/>
    </w:pPr>
    <w:rPr>
      <w:rFonts w:ascii="Minion" w:hAnsi="Minion"/>
      <w:lang w:val="pt-BR"/>
    </w:rPr>
  </w:style>
  <w:style w:type="paragraph" w:styleId="TOC2">
    <w:name w:val="toc 2"/>
    <w:basedOn w:val="Normal"/>
    <w:next w:val="Normal"/>
    <w:autoRedefine/>
    <w:uiPriority w:val="39"/>
    <w:rsid w:val="006165FE"/>
    <w:pPr>
      <w:tabs>
        <w:tab w:val="left" w:pos="576"/>
        <w:tab w:val="right" w:leader="dot" w:pos="8299"/>
      </w:tabs>
      <w:spacing w:before="150" w:line="300" w:lineRule="atLeast"/>
      <w:ind w:left="216"/>
      <w:jc w:val="both"/>
    </w:pPr>
    <w:rPr>
      <w:rFonts w:ascii="Minion" w:hAnsi="Minion"/>
      <w:lang w:val="pt-BR"/>
    </w:rPr>
  </w:style>
  <w:style w:type="paragraph" w:styleId="TOC3">
    <w:name w:val="toc 3"/>
    <w:basedOn w:val="Normal"/>
    <w:next w:val="Normal"/>
    <w:autoRedefine/>
    <w:uiPriority w:val="39"/>
    <w:rsid w:val="006165FE"/>
    <w:pPr>
      <w:tabs>
        <w:tab w:val="left" w:pos="1080"/>
        <w:tab w:val="right" w:leader="dot" w:pos="8299"/>
      </w:tabs>
      <w:spacing w:before="150" w:line="300" w:lineRule="atLeast"/>
      <w:ind w:left="576"/>
      <w:jc w:val="both"/>
    </w:pPr>
    <w:rPr>
      <w:rFonts w:ascii="Minion" w:hAnsi="Minion"/>
      <w:lang w:val="pt-BR"/>
    </w:rPr>
  </w:style>
  <w:style w:type="paragraph" w:customStyle="1" w:styleId="Cabeco">
    <w:name w:val="Cabeco"/>
    <w:basedOn w:val="Normal"/>
    <w:next w:val="Normal"/>
    <w:link w:val="CabecoChar"/>
    <w:rsid w:val="006165FE"/>
    <w:pPr>
      <w:spacing w:before="150" w:line="300" w:lineRule="atLeast"/>
    </w:pPr>
    <w:rPr>
      <w:rFonts w:ascii="Myriad Pro" w:hAnsi="Myriad Pro" w:cs="Arial"/>
      <w:b/>
      <w:caps/>
      <w:color w:val="646464"/>
      <w:spacing w:val="30"/>
      <w:sz w:val="15"/>
      <w:lang w:val="pt-BR"/>
    </w:rPr>
  </w:style>
  <w:style w:type="character" w:customStyle="1" w:styleId="CabecoChar">
    <w:name w:val="Cabeco Char"/>
    <w:link w:val="Cabeco"/>
    <w:rsid w:val="006165FE"/>
    <w:rPr>
      <w:rFonts w:ascii="Myriad Pro" w:hAnsi="Myriad Pro" w:cs="Arial"/>
      <w:b/>
      <w:caps/>
      <w:color w:val="646464"/>
      <w:spacing w:val="30"/>
      <w:sz w:val="15"/>
      <w:szCs w:val="24"/>
      <w:lang w:val="pt-BR"/>
    </w:rPr>
  </w:style>
  <w:style w:type="paragraph" w:customStyle="1" w:styleId="Sumario">
    <w:name w:val="Sumario"/>
    <w:basedOn w:val="Normal"/>
    <w:rsid w:val="006165FE"/>
    <w:pPr>
      <w:pageBreakBefore/>
      <w:spacing w:line="300" w:lineRule="atLeast"/>
    </w:pPr>
    <w:rPr>
      <w:rFonts w:ascii="Myriad Pro" w:hAnsi="Myriad Pro"/>
      <w:b/>
    </w:rPr>
  </w:style>
  <w:style w:type="paragraph" w:customStyle="1" w:styleId="PreparadoPara">
    <w:name w:val="PreparadoPara"/>
    <w:basedOn w:val="Titulo"/>
    <w:next w:val="Cliente"/>
    <w:rsid w:val="006165FE"/>
    <w:pPr>
      <w:spacing w:before="1200" w:after="100"/>
    </w:pPr>
    <w:rPr>
      <w:b w:val="0"/>
      <w:sz w:val="32"/>
    </w:rPr>
  </w:style>
  <w:style w:type="paragraph" w:customStyle="1" w:styleId="Versaopreliminar">
    <w:name w:val="Versao preliminar"/>
    <w:basedOn w:val="Data"/>
    <w:rsid w:val="006165FE"/>
    <w:pPr>
      <w:spacing w:before="900"/>
    </w:pPr>
    <w:rPr>
      <w:b/>
      <w:caps/>
      <w:sz w:val="19"/>
    </w:rPr>
  </w:style>
  <w:style w:type="character" w:styleId="PlaceholderText">
    <w:name w:val="Placeholder Text"/>
    <w:basedOn w:val="DefaultParagraphFont"/>
    <w:uiPriority w:val="99"/>
    <w:semiHidden/>
    <w:rsid w:val="006165FE"/>
    <w:rPr>
      <w:color w:val="808080"/>
    </w:rPr>
  </w:style>
  <w:style w:type="paragraph" w:styleId="Caption">
    <w:name w:val="caption"/>
    <w:basedOn w:val="Normal"/>
    <w:next w:val="Normal"/>
    <w:uiPriority w:val="35"/>
    <w:semiHidden/>
    <w:unhideWhenUsed/>
    <w:rsid w:val="004568E8"/>
    <w:rPr>
      <w:b/>
      <w:bCs/>
      <w:sz w:val="18"/>
      <w:szCs w:val="18"/>
    </w:rPr>
  </w:style>
  <w:style w:type="paragraph" w:styleId="Subtitle">
    <w:name w:val="Subtitle"/>
    <w:basedOn w:val="Normal"/>
    <w:next w:val="Normal"/>
    <w:link w:val="SubtitleChar"/>
    <w:uiPriority w:val="11"/>
    <w:qFormat/>
    <w:rsid w:val="004568E8"/>
    <w:rPr>
      <w:i/>
      <w:iCs/>
      <w:smallCaps/>
      <w:spacing w:val="10"/>
      <w:sz w:val="28"/>
      <w:szCs w:val="28"/>
    </w:rPr>
  </w:style>
  <w:style w:type="character" w:customStyle="1" w:styleId="SubtitleChar">
    <w:name w:val="Subtitle Char"/>
    <w:basedOn w:val="DefaultParagraphFont"/>
    <w:link w:val="Subtitle"/>
    <w:uiPriority w:val="11"/>
    <w:rsid w:val="004568E8"/>
    <w:rPr>
      <w:i/>
      <w:iCs/>
      <w:smallCaps/>
      <w:spacing w:val="10"/>
      <w:sz w:val="28"/>
      <w:szCs w:val="28"/>
    </w:rPr>
  </w:style>
  <w:style w:type="character" w:styleId="Strong">
    <w:name w:val="Strong"/>
    <w:uiPriority w:val="22"/>
    <w:qFormat/>
    <w:rsid w:val="004568E8"/>
    <w:rPr>
      <w:b/>
      <w:bCs/>
    </w:rPr>
  </w:style>
  <w:style w:type="character" w:styleId="Emphasis">
    <w:name w:val="Emphasis"/>
    <w:uiPriority w:val="20"/>
    <w:qFormat/>
    <w:rsid w:val="004568E8"/>
    <w:rPr>
      <w:b/>
      <w:bCs/>
      <w:i/>
      <w:iCs/>
      <w:spacing w:val="10"/>
    </w:rPr>
  </w:style>
  <w:style w:type="paragraph" w:styleId="NoSpacing">
    <w:name w:val="No Spacing"/>
    <w:basedOn w:val="Normal"/>
    <w:link w:val="NoSpacingChar"/>
    <w:uiPriority w:val="1"/>
    <w:qFormat/>
    <w:rsid w:val="004568E8"/>
    <w:pPr>
      <w:spacing w:after="0" w:line="240" w:lineRule="auto"/>
    </w:pPr>
  </w:style>
  <w:style w:type="paragraph" w:styleId="Quote">
    <w:name w:val="Quote"/>
    <w:basedOn w:val="Normal"/>
    <w:next w:val="Normal"/>
    <w:link w:val="QuoteChar"/>
    <w:uiPriority w:val="29"/>
    <w:qFormat/>
    <w:rsid w:val="004568E8"/>
    <w:rPr>
      <w:i/>
      <w:iCs/>
    </w:rPr>
  </w:style>
  <w:style w:type="character" w:customStyle="1" w:styleId="QuoteChar">
    <w:name w:val="Quote Char"/>
    <w:basedOn w:val="DefaultParagraphFont"/>
    <w:link w:val="Quote"/>
    <w:uiPriority w:val="29"/>
    <w:rsid w:val="004568E8"/>
    <w:rPr>
      <w:i/>
      <w:iCs/>
    </w:rPr>
  </w:style>
  <w:style w:type="paragraph" w:styleId="IntenseQuote">
    <w:name w:val="Intense Quote"/>
    <w:basedOn w:val="Normal"/>
    <w:next w:val="Normal"/>
    <w:link w:val="IntenseQuoteChar"/>
    <w:uiPriority w:val="30"/>
    <w:qFormat/>
    <w:rsid w:val="004568E8"/>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568E8"/>
    <w:rPr>
      <w:i/>
      <w:iCs/>
    </w:rPr>
  </w:style>
  <w:style w:type="character" w:styleId="SubtleEmphasis">
    <w:name w:val="Subtle Emphasis"/>
    <w:uiPriority w:val="19"/>
    <w:qFormat/>
    <w:rsid w:val="004568E8"/>
    <w:rPr>
      <w:i/>
      <w:iCs/>
    </w:rPr>
  </w:style>
  <w:style w:type="character" w:styleId="IntenseEmphasis">
    <w:name w:val="Intense Emphasis"/>
    <w:uiPriority w:val="21"/>
    <w:qFormat/>
    <w:rsid w:val="004568E8"/>
    <w:rPr>
      <w:b/>
      <w:bCs/>
      <w:i/>
      <w:iCs/>
    </w:rPr>
  </w:style>
  <w:style w:type="character" w:styleId="SubtleReference">
    <w:name w:val="Subtle Reference"/>
    <w:basedOn w:val="DefaultParagraphFont"/>
    <w:uiPriority w:val="31"/>
    <w:qFormat/>
    <w:rsid w:val="004568E8"/>
    <w:rPr>
      <w:smallCaps/>
    </w:rPr>
  </w:style>
  <w:style w:type="character" w:styleId="IntenseReference">
    <w:name w:val="Intense Reference"/>
    <w:uiPriority w:val="32"/>
    <w:qFormat/>
    <w:rsid w:val="004568E8"/>
    <w:rPr>
      <w:b/>
      <w:bCs/>
      <w:smallCaps/>
    </w:rPr>
  </w:style>
  <w:style w:type="character" w:styleId="BookTitle">
    <w:name w:val="Book Title"/>
    <w:basedOn w:val="DefaultParagraphFont"/>
    <w:uiPriority w:val="33"/>
    <w:qFormat/>
    <w:rsid w:val="004568E8"/>
    <w:rPr>
      <w:i/>
      <w:iCs/>
      <w:smallCaps/>
      <w:spacing w:val="5"/>
    </w:rPr>
  </w:style>
  <w:style w:type="paragraph" w:styleId="TOCHeading">
    <w:name w:val="TOC Heading"/>
    <w:basedOn w:val="Heading1"/>
    <w:next w:val="Normal"/>
    <w:uiPriority w:val="39"/>
    <w:semiHidden/>
    <w:unhideWhenUsed/>
    <w:qFormat/>
    <w:rsid w:val="004568E8"/>
    <w:pPr>
      <w:outlineLvl w:val="9"/>
    </w:pPr>
  </w:style>
  <w:style w:type="character" w:customStyle="1" w:styleId="NoSpacingChar">
    <w:name w:val="No Spacing Char"/>
    <w:basedOn w:val="DefaultParagraphFont"/>
    <w:link w:val="NoSpacing"/>
    <w:uiPriority w:val="1"/>
    <w:rsid w:val="004568E8"/>
  </w:style>
</w:styles>
</file>

<file path=word/webSettings.xml><?xml version="1.0" encoding="utf-8"?>
<w:webSettings xmlns:r="http://schemas.openxmlformats.org/officeDocument/2006/relationships" xmlns:w="http://schemas.openxmlformats.org/wordprocessingml/2006/main">
  <w:divs>
    <w:div w:id="1680278451">
      <w:bodyDiv w:val="1"/>
      <w:marLeft w:val="0"/>
      <w:marRight w:val="0"/>
      <w:marTop w:val="0"/>
      <w:marBottom w:val="0"/>
      <w:divBdr>
        <w:top w:val="none" w:sz="0" w:space="0" w:color="auto"/>
        <w:left w:val="none" w:sz="0" w:space="0" w:color="auto"/>
        <w:bottom w:val="none" w:sz="0" w:space="0" w:color="auto"/>
        <w:right w:val="none" w:sz="0" w:space="0" w:color="auto"/>
      </w:divBdr>
    </w:div>
    <w:div w:id="1794011683">
      <w:bodyDiv w:val="1"/>
      <w:marLeft w:val="0"/>
      <w:marRight w:val="0"/>
      <w:marTop w:val="0"/>
      <w:marBottom w:val="0"/>
      <w:divBdr>
        <w:top w:val="none" w:sz="0" w:space="0" w:color="auto"/>
        <w:left w:val="none" w:sz="0" w:space="0" w:color="auto"/>
        <w:bottom w:val="none" w:sz="0" w:space="0" w:color="auto"/>
        <w:right w:val="none" w:sz="0" w:space="0" w:color="auto"/>
      </w:divBdr>
      <w:divsChild>
        <w:div w:id="660736080">
          <w:marLeft w:val="0"/>
          <w:marRight w:val="0"/>
          <w:marTop w:val="0"/>
          <w:marBottom w:val="0"/>
          <w:divBdr>
            <w:top w:val="none" w:sz="0" w:space="0" w:color="auto"/>
            <w:left w:val="none" w:sz="0" w:space="0" w:color="auto"/>
            <w:bottom w:val="none" w:sz="0" w:space="0" w:color="auto"/>
            <w:right w:val="none" w:sz="0" w:space="0" w:color="auto"/>
          </w:divBdr>
          <w:divsChild>
            <w:div w:id="1360815369">
              <w:marLeft w:val="0"/>
              <w:marRight w:val="0"/>
              <w:marTop w:val="0"/>
              <w:marBottom w:val="0"/>
              <w:divBdr>
                <w:top w:val="none" w:sz="0" w:space="0" w:color="auto"/>
                <w:left w:val="none" w:sz="0" w:space="0" w:color="auto"/>
                <w:bottom w:val="none" w:sz="0" w:space="0" w:color="auto"/>
                <w:right w:val="none" w:sz="0" w:space="0" w:color="auto"/>
              </w:divBdr>
              <w:divsChild>
                <w:div w:id="829832375">
                  <w:marLeft w:val="0"/>
                  <w:marRight w:val="0"/>
                  <w:marTop w:val="0"/>
                  <w:marBottom w:val="0"/>
                  <w:divBdr>
                    <w:top w:val="none" w:sz="0" w:space="0" w:color="auto"/>
                    <w:left w:val="none" w:sz="0" w:space="0" w:color="auto"/>
                    <w:bottom w:val="none" w:sz="0" w:space="0" w:color="auto"/>
                    <w:right w:val="none" w:sz="0" w:space="0" w:color="auto"/>
                  </w:divBdr>
                  <w:divsChild>
                    <w:div w:id="1966886342">
                      <w:marLeft w:val="0"/>
                      <w:marRight w:val="0"/>
                      <w:marTop w:val="0"/>
                      <w:marBottom w:val="0"/>
                      <w:divBdr>
                        <w:top w:val="none" w:sz="0" w:space="0" w:color="auto"/>
                        <w:left w:val="none" w:sz="0" w:space="0" w:color="auto"/>
                        <w:bottom w:val="none" w:sz="0" w:space="0" w:color="auto"/>
                        <w:right w:val="none" w:sz="0" w:space="0" w:color="auto"/>
                      </w:divBdr>
                      <w:divsChild>
                        <w:div w:id="1735666537">
                          <w:marLeft w:val="0"/>
                          <w:marRight w:val="0"/>
                          <w:marTop w:val="0"/>
                          <w:marBottom w:val="0"/>
                          <w:divBdr>
                            <w:top w:val="none" w:sz="0" w:space="0" w:color="auto"/>
                            <w:left w:val="none" w:sz="0" w:space="0" w:color="auto"/>
                            <w:bottom w:val="none" w:sz="0" w:space="0" w:color="auto"/>
                            <w:right w:val="none" w:sz="0" w:space="0" w:color="auto"/>
                          </w:divBdr>
                          <w:divsChild>
                            <w:div w:id="2086806063">
                              <w:marLeft w:val="0"/>
                              <w:marRight w:val="0"/>
                              <w:marTop w:val="0"/>
                              <w:marBottom w:val="0"/>
                              <w:divBdr>
                                <w:top w:val="none" w:sz="0" w:space="0" w:color="auto"/>
                                <w:left w:val="none" w:sz="0" w:space="0" w:color="auto"/>
                                <w:bottom w:val="none" w:sz="0" w:space="0" w:color="auto"/>
                                <w:right w:val="none" w:sz="0" w:space="0" w:color="auto"/>
                              </w:divBdr>
                              <w:divsChild>
                                <w:div w:id="838741285">
                                  <w:marLeft w:val="0"/>
                                  <w:marRight w:val="0"/>
                                  <w:marTop w:val="0"/>
                                  <w:marBottom w:val="0"/>
                                  <w:divBdr>
                                    <w:top w:val="none" w:sz="0" w:space="0" w:color="auto"/>
                                    <w:left w:val="none" w:sz="0" w:space="0" w:color="auto"/>
                                    <w:bottom w:val="none" w:sz="0" w:space="0" w:color="auto"/>
                                    <w:right w:val="none" w:sz="0" w:space="0" w:color="auto"/>
                                  </w:divBdr>
                                  <w:divsChild>
                                    <w:div w:id="288702343">
                                      <w:marLeft w:val="0"/>
                                      <w:marRight w:val="0"/>
                                      <w:marTop w:val="0"/>
                                      <w:marBottom w:val="0"/>
                                      <w:divBdr>
                                        <w:top w:val="none" w:sz="0" w:space="0" w:color="auto"/>
                                        <w:left w:val="none" w:sz="0" w:space="0" w:color="auto"/>
                                        <w:bottom w:val="none" w:sz="0" w:space="0" w:color="auto"/>
                                        <w:right w:val="none" w:sz="0" w:space="0" w:color="auto"/>
                                      </w:divBdr>
                                    </w:div>
                                    <w:div w:id="578173582">
                                      <w:marLeft w:val="0"/>
                                      <w:marRight w:val="0"/>
                                      <w:marTop w:val="0"/>
                                      <w:marBottom w:val="0"/>
                                      <w:divBdr>
                                        <w:top w:val="none" w:sz="0" w:space="0" w:color="auto"/>
                                        <w:left w:val="none" w:sz="0" w:space="0" w:color="auto"/>
                                        <w:bottom w:val="none" w:sz="0" w:space="0" w:color="auto"/>
                                        <w:right w:val="none" w:sz="0" w:space="0" w:color="auto"/>
                                      </w:divBdr>
                                    </w:div>
                                    <w:div w:id="877468164">
                                      <w:marLeft w:val="0"/>
                                      <w:marRight w:val="0"/>
                                      <w:marTop w:val="0"/>
                                      <w:marBottom w:val="0"/>
                                      <w:divBdr>
                                        <w:top w:val="none" w:sz="0" w:space="0" w:color="auto"/>
                                        <w:left w:val="none" w:sz="0" w:space="0" w:color="auto"/>
                                        <w:bottom w:val="none" w:sz="0" w:space="0" w:color="auto"/>
                                        <w:right w:val="none" w:sz="0" w:space="0" w:color="auto"/>
                                      </w:divBdr>
                                    </w:div>
                                    <w:div w:id="1093013605">
                                      <w:marLeft w:val="0"/>
                                      <w:marRight w:val="0"/>
                                      <w:marTop w:val="0"/>
                                      <w:marBottom w:val="0"/>
                                      <w:divBdr>
                                        <w:top w:val="none" w:sz="0" w:space="0" w:color="auto"/>
                                        <w:left w:val="none" w:sz="0" w:space="0" w:color="auto"/>
                                        <w:bottom w:val="none" w:sz="0" w:space="0" w:color="auto"/>
                                        <w:right w:val="none" w:sz="0" w:space="0" w:color="auto"/>
                                      </w:divBdr>
                                    </w:div>
                                    <w:div w:id="1416704422">
                                      <w:marLeft w:val="0"/>
                                      <w:marRight w:val="0"/>
                                      <w:marTop w:val="0"/>
                                      <w:marBottom w:val="0"/>
                                      <w:divBdr>
                                        <w:top w:val="none" w:sz="0" w:space="0" w:color="auto"/>
                                        <w:left w:val="none" w:sz="0" w:space="0" w:color="auto"/>
                                        <w:bottom w:val="none" w:sz="0" w:space="0" w:color="auto"/>
                                        <w:right w:val="none" w:sz="0" w:space="0" w:color="auto"/>
                                      </w:divBdr>
                                    </w:div>
                                    <w:div w:id="195651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nwcouncil.org/library/2000/2000-4.pdf" TargetMode="External"/><Relationship Id="rId2" Type="http://schemas.openxmlformats.org/officeDocument/2006/relationships/hyperlink" Target="http://www.nwcouncil.org/energy/powerplan/6/final/SixthPowerPlan_Ch14.pdf" TargetMode="External"/><Relationship Id="rId1" Type="http://schemas.openxmlformats.org/officeDocument/2006/relationships/hyperlink" Target="http://www.nwcouncil.org/library/2008/2008-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2011-10-04T00:00:00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BD32E6-A1D8-4F19-B8E0-CFFF4A5F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4854</Words>
  <Characters>27749</Characters>
  <Application>Microsoft Office Word</Application>
  <DocSecurity>0</DocSecurity>
  <Lines>470</Lines>
  <Paragraphs>148</Paragraphs>
  <ScaleCrop>false</ScaleCrop>
  <HeadingPairs>
    <vt:vector size="2" baseType="variant">
      <vt:variant>
        <vt:lpstr>Title</vt:lpstr>
      </vt:variant>
      <vt:variant>
        <vt:i4>1</vt:i4>
      </vt:variant>
    </vt:vector>
  </HeadingPairs>
  <TitlesOfParts>
    <vt:vector size="1" baseType="lpstr">
      <vt:lpstr>A Resource Adequacy Standard for the Pacific Northwest</vt:lpstr>
    </vt:vector>
  </TitlesOfParts>
  <Company/>
  <LinksUpToDate>false</LinksUpToDate>
  <CharactersWithSpaces>32455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Resource Adequacy Standard for the Pacific Northwest</dc:title>
  <dc:subject>Working Draft – Version 3</dc:subject>
  <dc:creator> John Fazio</dc:creator>
  <cp:lastModifiedBy> John Fazio</cp:lastModifiedBy>
  <cp:revision>2</cp:revision>
  <cp:lastPrinted>2011-09-14T17:06:00Z</cp:lastPrinted>
  <dcterms:created xsi:type="dcterms:W3CDTF">2011-09-26T23:26:00Z</dcterms:created>
  <dcterms:modified xsi:type="dcterms:W3CDTF">2011-09-26T23:26:00Z</dcterms:modified>
</cp:coreProperties>
</file>