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FF" w:rsidRDefault="007145F8" w:rsidP="007145F8">
      <w:pPr>
        <w:rPr>
          <w:rFonts w:ascii="Arial" w:hAnsi="Arial" w:cs="Arial"/>
          <w:b/>
          <w:sz w:val="24"/>
          <w:szCs w:val="24"/>
        </w:rPr>
      </w:pPr>
      <w:bookmarkStart w:id="0" w:name="SavedEditLocation"/>
      <w:bookmarkEnd w:id="0"/>
      <w:r w:rsidRPr="0045541F">
        <w:rPr>
          <w:rFonts w:ascii="Arial" w:hAnsi="Arial" w:cs="Arial"/>
          <w:b/>
          <w:sz w:val="28"/>
          <w:szCs w:val="28"/>
        </w:rPr>
        <w:t xml:space="preserve">Resource Adequacy Forum Steering Committee </w:t>
      </w:r>
      <w:r w:rsidRPr="0045541F">
        <w:rPr>
          <w:rFonts w:ascii="Arial" w:hAnsi="Arial" w:cs="Arial"/>
          <w:b/>
          <w:sz w:val="28"/>
          <w:szCs w:val="28"/>
        </w:rPr>
        <w:br/>
        <w:t>Conference Call</w:t>
      </w:r>
      <w:r w:rsidR="00B06090">
        <w:rPr>
          <w:rFonts w:ascii="Arial" w:hAnsi="Arial" w:cs="Arial"/>
          <w:b/>
          <w:sz w:val="28"/>
          <w:szCs w:val="28"/>
        </w:rPr>
        <w:t xml:space="preserve"> Discussion Material</w:t>
      </w:r>
      <w:r w:rsidR="008D265C" w:rsidRPr="0045541F">
        <w:rPr>
          <w:rFonts w:ascii="Arial" w:hAnsi="Arial" w:cs="Arial"/>
          <w:b/>
          <w:sz w:val="28"/>
          <w:szCs w:val="28"/>
        </w:rPr>
        <w:br/>
      </w:r>
      <w:r w:rsidR="00B06090">
        <w:rPr>
          <w:rFonts w:ascii="Arial" w:hAnsi="Arial" w:cs="Arial"/>
          <w:b/>
          <w:sz w:val="24"/>
          <w:szCs w:val="24"/>
        </w:rPr>
        <w:t>August 30</w:t>
      </w:r>
      <w:r w:rsidRPr="007145F8">
        <w:rPr>
          <w:rFonts w:ascii="Arial" w:hAnsi="Arial" w:cs="Arial"/>
          <w:b/>
          <w:sz w:val="24"/>
          <w:szCs w:val="24"/>
        </w:rPr>
        <w:t>, 2012</w:t>
      </w:r>
    </w:p>
    <w:p w:rsidR="00D81055" w:rsidRPr="00835B4E" w:rsidRDefault="00D81055" w:rsidP="00D81055">
      <w:pPr>
        <w:rPr>
          <w:rFonts w:ascii="Arial" w:hAnsi="Arial" w:cs="Arial"/>
          <w:b/>
          <w:color w:val="0070C0"/>
          <w:sz w:val="28"/>
          <w:szCs w:val="28"/>
        </w:rPr>
      </w:pPr>
      <w:r w:rsidRPr="00835B4E">
        <w:rPr>
          <w:rFonts w:ascii="Arial" w:hAnsi="Arial" w:cs="Arial"/>
          <w:b/>
          <w:color w:val="0070C0"/>
          <w:sz w:val="28"/>
          <w:szCs w:val="28"/>
        </w:rPr>
        <w:t xml:space="preserve">Changes since the 2015 Assessment  </w:t>
      </w:r>
    </w:p>
    <w:p w:rsidR="00D81055" w:rsidRPr="007145F8" w:rsidRDefault="00D81055" w:rsidP="00D81055">
      <w:pPr>
        <w:rPr>
          <w:rFonts w:ascii="Arial" w:hAnsi="Arial" w:cs="Arial"/>
          <w:b/>
          <w:sz w:val="24"/>
          <w:szCs w:val="24"/>
        </w:rPr>
      </w:pPr>
      <w:r>
        <w:rPr>
          <w:rFonts w:ascii="Arial" w:hAnsi="Arial" w:cs="Arial"/>
          <w:b/>
          <w:sz w:val="24"/>
          <w:szCs w:val="24"/>
        </w:rPr>
        <w:t xml:space="preserve">Resources </w:t>
      </w:r>
    </w:p>
    <w:p w:rsidR="00D81055" w:rsidRDefault="00D81055" w:rsidP="00D81055">
      <w:pPr>
        <w:pStyle w:val="ListParagraph"/>
        <w:numPr>
          <w:ilvl w:val="0"/>
          <w:numId w:val="1"/>
        </w:numPr>
        <w:rPr>
          <w:rFonts w:ascii="Arial" w:hAnsi="Arial" w:cs="Arial"/>
          <w:sz w:val="24"/>
          <w:szCs w:val="24"/>
        </w:rPr>
      </w:pPr>
      <w:r>
        <w:rPr>
          <w:rFonts w:ascii="Arial" w:hAnsi="Arial" w:cs="Arial"/>
          <w:sz w:val="24"/>
          <w:szCs w:val="24"/>
        </w:rPr>
        <w:t>About 100 MW of new generating resources</w:t>
      </w:r>
    </w:p>
    <w:p w:rsidR="00D81055" w:rsidRDefault="00D81055" w:rsidP="00D81055">
      <w:pPr>
        <w:pStyle w:val="ListParagraph"/>
        <w:numPr>
          <w:ilvl w:val="0"/>
          <w:numId w:val="1"/>
        </w:numPr>
        <w:rPr>
          <w:rFonts w:ascii="Arial" w:hAnsi="Arial" w:cs="Arial"/>
          <w:sz w:val="24"/>
          <w:szCs w:val="24"/>
        </w:rPr>
      </w:pPr>
      <w:r>
        <w:rPr>
          <w:rFonts w:ascii="Arial" w:hAnsi="Arial" w:cs="Arial"/>
          <w:sz w:val="24"/>
          <w:szCs w:val="24"/>
        </w:rPr>
        <w:t>Wind increased from 3,100 to 4,400 MW</w:t>
      </w:r>
    </w:p>
    <w:p w:rsidR="00D81055" w:rsidRDefault="00D81055" w:rsidP="00D81055">
      <w:pPr>
        <w:pStyle w:val="ListParagraph"/>
        <w:numPr>
          <w:ilvl w:val="0"/>
          <w:numId w:val="1"/>
        </w:numPr>
        <w:rPr>
          <w:rFonts w:ascii="Arial" w:hAnsi="Arial" w:cs="Arial"/>
          <w:sz w:val="24"/>
          <w:szCs w:val="24"/>
        </w:rPr>
      </w:pPr>
      <w:r>
        <w:rPr>
          <w:rFonts w:ascii="Arial" w:hAnsi="Arial" w:cs="Arial"/>
          <w:sz w:val="24"/>
          <w:szCs w:val="24"/>
        </w:rPr>
        <w:t>Mainstem hydro is the same but hydro independents increased by 20 MWa and small hydro (in the resource data file increased by about 250 MWa)</w:t>
      </w:r>
    </w:p>
    <w:p w:rsidR="00D81055" w:rsidRDefault="00D81055" w:rsidP="00D81055">
      <w:pPr>
        <w:pStyle w:val="ListParagraph"/>
        <w:numPr>
          <w:ilvl w:val="0"/>
          <w:numId w:val="1"/>
        </w:numPr>
        <w:rPr>
          <w:rFonts w:ascii="Arial" w:hAnsi="Arial" w:cs="Arial"/>
          <w:sz w:val="24"/>
          <w:szCs w:val="24"/>
        </w:rPr>
      </w:pPr>
      <w:r>
        <w:rPr>
          <w:rFonts w:ascii="Arial" w:hAnsi="Arial" w:cs="Arial"/>
          <w:sz w:val="24"/>
          <w:szCs w:val="24"/>
        </w:rPr>
        <w:t>Using temperature-correlated wind data</w:t>
      </w:r>
    </w:p>
    <w:p w:rsidR="00D81055" w:rsidRDefault="00D81055" w:rsidP="00D81055">
      <w:pPr>
        <w:pStyle w:val="ListParagraph"/>
        <w:numPr>
          <w:ilvl w:val="0"/>
          <w:numId w:val="1"/>
        </w:numPr>
        <w:rPr>
          <w:rFonts w:ascii="Arial" w:hAnsi="Arial" w:cs="Arial"/>
          <w:sz w:val="24"/>
          <w:szCs w:val="24"/>
        </w:rPr>
      </w:pPr>
      <w:r>
        <w:rPr>
          <w:rFonts w:ascii="Arial" w:hAnsi="Arial" w:cs="Arial"/>
          <w:sz w:val="24"/>
          <w:szCs w:val="24"/>
        </w:rPr>
        <w:t>SW on-peak winter market dropped from 3,000 MW to 1,700 MW (summer on-peak market remains at zero and off-peak market winter and summer remains at 3,000 MW)</w:t>
      </w:r>
    </w:p>
    <w:p w:rsidR="00D81055" w:rsidRPr="00D81055" w:rsidRDefault="00D81055" w:rsidP="00D81055">
      <w:pPr>
        <w:rPr>
          <w:rFonts w:ascii="Arial" w:hAnsi="Arial" w:cs="Arial"/>
          <w:b/>
          <w:sz w:val="24"/>
          <w:szCs w:val="24"/>
        </w:rPr>
      </w:pPr>
      <w:r w:rsidRPr="00D81055">
        <w:rPr>
          <w:rFonts w:ascii="Arial" w:hAnsi="Arial" w:cs="Arial"/>
          <w:b/>
          <w:sz w:val="24"/>
          <w:szCs w:val="24"/>
        </w:rPr>
        <w:t>Loads</w:t>
      </w:r>
    </w:p>
    <w:p w:rsidR="00D81055" w:rsidRDefault="00D81055" w:rsidP="00D81055">
      <w:pPr>
        <w:pStyle w:val="ListParagraph"/>
        <w:numPr>
          <w:ilvl w:val="0"/>
          <w:numId w:val="1"/>
        </w:numPr>
        <w:rPr>
          <w:rFonts w:ascii="Arial" w:hAnsi="Arial" w:cs="Arial"/>
          <w:sz w:val="24"/>
          <w:szCs w:val="24"/>
        </w:rPr>
      </w:pPr>
      <w:r>
        <w:rPr>
          <w:rFonts w:ascii="Arial" w:hAnsi="Arial" w:cs="Arial"/>
          <w:sz w:val="24"/>
          <w:szCs w:val="24"/>
        </w:rPr>
        <w:t>New loads</w:t>
      </w:r>
      <w:r w:rsidR="0080510E">
        <w:rPr>
          <w:rFonts w:ascii="Arial" w:hAnsi="Arial" w:cs="Arial"/>
          <w:sz w:val="24"/>
          <w:szCs w:val="24"/>
        </w:rPr>
        <w:t xml:space="preserve"> (from 2015 to 2017)</w:t>
      </w:r>
    </w:p>
    <w:p w:rsidR="00D81055" w:rsidRDefault="00D81055" w:rsidP="009F774D">
      <w:pPr>
        <w:pStyle w:val="ListParagraph"/>
        <w:numPr>
          <w:ilvl w:val="0"/>
          <w:numId w:val="12"/>
        </w:numPr>
        <w:ind w:left="1260"/>
        <w:rPr>
          <w:rFonts w:ascii="Arial" w:hAnsi="Arial" w:cs="Arial"/>
          <w:sz w:val="24"/>
          <w:szCs w:val="24"/>
        </w:rPr>
      </w:pPr>
      <w:r>
        <w:rPr>
          <w:rFonts w:ascii="Arial" w:hAnsi="Arial" w:cs="Arial"/>
          <w:sz w:val="24"/>
          <w:szCs w:val="24"/>
        </w:rPr>
        <w:t xml:space="preserve">Revised short-term load model </w:t>
      </w:r>
      <w:r w:rsidR="00BA64A2">
        <w:rPr>
          <w:rFonts w:ascii="Arial" w:hAnsi="Arial" w:cs="Arial"/>
          <w:sz w:val="24"/>
          <w:szCs w:val="24"/>
        </w:rPr>
        <w:t>using</w:t>
      </w:r>
      <w:r>
        <w:rPr>
          <w:rFonts w:ascii="Arial" w:hAnsi="Arial" w:cs="Arial"/>
          <w:sz w:val="24"/>
          <w:szCs w:val="24"/>
        </w:rPr>
        <w:t xml:space="preserve"> more historical data shows about a 300 MWa load increase or about 0.7% annual growth rate, net of conservation</w:t>
      </w:r>
      <w:r w:rsidR="00BA64A2">
        <w:rPr>
          <w:rFonts w:ascii="Arial" w:hAnsi="Arial" w:cs="Arial"/>
          <w:sz w:val="24"/>
          <w:szCs w:val="24"/>
        </w:rPr>
        <w:t xml:space="preserve"> from 2015 to 2017</w:t>
      </w:r>
    </w:p>
    <w:p w:rsidR="00D81055" w:rsidRDefault="0080510E" w:rsidP="009F774D">
      <w:pPr>
        <w:pStyle w:val="ListParagraph"/>
        <w:numPr>
          <w:ilvl w:val="0"/>
          <w:numId w:val="12"/>
        </w:numPr>
        <w:ind w:left="1260"/>
        <w:rPr>
          <w:rFonts w:ascii="Arial" w:hAnsi="Arial" w:cs="Arial"/>
          <w:sz w:val="24"/>
          <w:szCs w:val="24"/>
        </w:rPr>
      </w:pPr>
      <w:r>
        <w:rPr>
          <w:rFonts w:ascii="Arial" w:hAnsi="Arial" w:cs="Arial"/>
          <w:sz w:val="24"/>
          <w:szCs w:val="24"/>
        </w:rPr>
        <w:t xml:space="preserve">However, </w:t>
      </w:r>
      <w:r w:rsidR="00BA64A2">
        <w:rPr>
          <w:rFonts w:ascii="Arial" w:hAnsi="Arial" w:cs="Arial"/>
          <w:sz w:val="24"/>
          <w:szCs w:val="24"/>
        </w:rPr>
        <w:t xml:space="preserve">the </w:t>
      </w:r>
      <w:r>
        <w:rPr>
          <w:rFonts w:ascii="Arial" w:hAnsi="Arial" w:cs="Arial"/>
          <w:sz w:val="24"/>
          <w:szCs w:val="24"/>
        </w:rPr>
        <w:t>d</w:t>
      </w:r>
      <w:r w:rsidR="00D81055">
        <w:rPr>
          <w:rFonts w:ascii="Arial" w:hAnsi="Arial" w:cs="Arial"/>
          <w:sz w:val="24"/>
          <w:szCs w:val="24"/>
        </w:rPr>
        <w:t xml:space="preserve">ifference between </w:t>
      </w:r>
      <w:r w:rsidR="00BA64A2">
        <w:rPr>
          <w:rFonts w:ascii="Arial" w:hAnsi="Arial" w:cs="Arial"/>
          <w:sz w:val="24"/>
          <w:szCs w:val="24"/>
        </w:rPr>
        <w:t xml:space="preserve">the </w:t>
      </w:r>
      <w:r w:rsidR="00D81055">
        <w:rPr>
          <w:rFonts w:ascii="Arial" w:hAnsi="Arial" w:cs="Arial"/>
          <w:sz w:val="24"/>
          <w:szCs w:val="24"/>
        </w:rPr>
        <w:t xml:space="preserve">new 2017 loads and </w:t>
      </w:r>
      <w:r w:rsidR="00BA64A2">
        <w:rPr>
          <w:rFonts w:ascii="Arial" w:hAnsi="Arial" w:cs="Arial"/>
          <w:sz w:val="24"/>
          <w:szCs w:val="24"/>
        </w:rPr>
        <w:t xml:space="preserve">the </w:t>
      </w:r>
      <w:r w:rsidR="00D81055">
        <w:rPr>
          <w:rFonts w:ascii="Arial" w:hAnsi="Arial" w:cs="Arial"/>
          <w:sz w:val="24"/>
          <w:szCs w:val="24"/>
        </w:rPr>
        <w:t>origi</w:t>
      </w:r>
      <w:r>
        <w:rPr>
          <w:rFonts w:ascii="Arial" w:hAnsi="Arial" w:cs="Arial"/>
          <w:sz w:val="24"/>
          <w:szCs w:val="24"/>
        </w:rPr>
        <w:t>nal 2015 forecast is about 850 MWa</w:t>
      </w:r>
      <w:r w:rsidR="00BA64A2">
        <w:rPr>
          <w:rFonts w:ascii="Arial" w:hAnsi="Arial" w:cs="Arial"/>
          <w:sz w:val="24"/>
          <w:szCs w:val="24"/>
        </w:rPr>
        <w:t xml:space="preserve"> (this is important for explaining how the LOLP calculated last year changed)</w:t>
      </w:r>
    </w:p>
    <w:p w:rsidR="00D81055" w:rsidRPr="006A0081" w:rsidRDefault="00D81055" w:rsidP="00D81055">
      <w:pPr>
        <w:pStyle w:val="ListParagraph"/>
        <w:numPr>
          <w:ilvl w:val="0"/>
          <w:numId w:val="1"/>
        </w:numPr>
        <w:rPr>
          <w:rFonts w:ascii="Arial" w:hAnsi="Arial" w:cs="Arial"/>
          <w:sz w:val="24"/>
          <w:szCs w:val="24"/>
        </w:rPr>
      </w:pPr>
      <w:r>
        <w:rPr>
          <w:rFonts w:ascii="Arial" w:hAnsi="Arial" w:cs="Arial"/>
          <w:sz w:val="24"/>
          <w:szCs w:val="24"/>
        </w:rPr>
        <w:t>Revised maintenance schedules</w:t>
      </w:r>
      <w:r w:rsidR="00BA64A2">
        <w:rPr>
          <w:rFonts w:ascii="Arial" w:hAnsi="Arial" w:cs="Arial"/>
          <w:sz w:val="24"/>
          <w:szCs w:val="24"/>
        </w:rPr>
        <w:t>, CGS on maintenance in May and June</w:t>
      </w:r>
    </w:p>
    <w:p w:rsidR="00D81055" w:rsidRPr="007145F8" w:rsidRDefault="00D81055" w:rsidP="00D81055">
      <w:pPr>
        <w:pStyle w:val="ListParagraph"/>
        <w:numPr>
          <w:ilvl w:val="0"/>
          <w:numId w:val="1"/>
        </w:numPr>
        <w:rPr>
          <w:rFonts w:ascii="Arial" w:hAnsi="Arial" w:cs="Arial"/>
          <w:sz w:val="24"/>
          <w:szCs w:val="24"/>
        </w:rPr>
      </w:pPr>
      <w:r>
        <w:rPr>
          <w:rFonts w:ascii="Arial" w:hAnsi="Arial" w:cs="Arial"/>
          <w:sz w:val="24"/>
          <w:szCs w:val="24"/>
        </w:rPr>
        <w:t>Removed double counted conservation (about 170 MWa)</w:t>
      </w:r>
    </w:p>
    <w:p w:rsidR="00D81055" w:rsidRPr="007145F8" w:rsidRDefault="00D81055" w:rsidP="00D81055">
      <w:pPr>
        <w:pStyle w:val="ListParagraph"/>
        <w:numPr>
          <w:ilvl w:val="0"/>
          <w:numId w:val="1"/>
        </w:numPr>
        <w:rPr>
          <w:rFonts w:ascii="Arial" w:hAnsi="Arial" w:cs="Arial"/>
          <w:sz w:val="24"/>
          <w:szCs w:val="24"/>
        </w:rPr>
      </w:pPr>
      <w:r>
        <w:rPr>
          <w:rFonts w:ascii="Arial" w:hAnsi="Arial" w:cs="Arial"/>
          <w:sz w:val="24"/>
          <w:szCs w:val="24"/>
        </w:rPr>
        <w:t>Removed double counted DSI load (about 300 MWa)</w:t>
      </w:r>
    </w:p>
    <w:p w:rsidR="00D81055" w:rsidRPr="007145F8" w:rsidRDefault="00D81055" w:rsidP="00D81055">
      <w:pPr>
        <w:pStyle w:val="ListParagraph"/>
        <w:numPr>
          <w:ilvl w:val="0"/>
          <w:numId w:val="1"/>
        </w:numPr>
        <w:rPr>
          <w:rFonts w:ascii="Arial" w:hAnsi="Arial" w:cs="Arial"/>
          <w:sz w:val="24"/>
          <w:szCs w:val="24"/>
        </w:rPr>
      </w:pPr>
      <w:r>
        <w:rPr>
          <w:rFonts w:ascii="Arial" w:hAnsi="Arial" w:cs="Arial"/>
          <w:sz w:val="24"/>
          <w:szCs w:val="24"/>
        </w:rPr>
        <w:t>Removed double counted Coulee pumping loads (about 130 MWa)</w:t>
      </w:r>
    </w:p>
    <w:p w:rsidR="00D81055" w:rsidRDefault="00D81055" w:rsidP="00D81055">
      <w:pPr>
        <w:pStyle w:val="ListParagraph"/>
        <w:numPr>
          <w:ilvl w:val="0"/>
          <w:numId w:val="1"/>
        </w:numPr>
        <w:rPr>
          <w:rFonts w:ascii="Arial" w:hAnsi="Arial" w:cs="Arial"/>
          <w:sz w:val="24"/>
          <w:szCs w:val="24"/>
        </w:rPr>
      </w:pPr>
      <w:r>
        <w:rPr>
          <w:rFonts w:ascii="Arial" w:hAnsi="Arial" w:cs="Arial"/>
          <w:sz w:val="24"/>
          <w:szCs w:val="24"/>
        </w:rPr>
        <w:t>Revised contract data (2015 contract data had a Utah import that should not have been included because we do not count Utah load, net change 530 MWa increase in load)</w:t>
      </w:r>
    </w:p>
    <w:p w:rsidR="001B346E" w:rsidRPr="00FF22BE" w:rsidRDefault="001B346E" w:rsidP="001B346E">
      <w:pPr>
        <w:ind w:left="360"/>
        <w:rPr>
          <w:rFonts w:ascii="Arial" w:hAnsi="Arial" w:cs="Arial"/>
          <w:b/>
          <w:sz w:val="24"/>
          <w:szCs w:val="24"/>
        </w:rPr>
      </w:pPr>
      <w:r w:rsidRPr="00FF22BE">
        <w:rPr>
          <w:rFonts w:ascii="Arial" w:hAnsi="Arial" w:cs="Arial"/>
          <w:b/>
          <w:sz w:val="24"/>
          <w:szCs w:val="24"/>
        </w:rPr>
        <w:t>Net load and resource changes:</w:t>
      </w:r>
    </w:p>
    <w:p w:rsidR="001B346E" w:rsidRPr="00D81055" w:rsidRDefault="001B346E" w:rsidP="001B346E">
      <w:pPr>
        <w:pStyle w:val="ListParagraph"/>
        <w:numPr>
          <w:ilvl w:val="0"/>
          <w:numId w:val="8"/>
        </w:numPr>
        <w:tabs>
          <w:tab w:val="num" w:pos="720"/>
        </w:tabs>
        <w:ind w:left="720"/>
        <w:rPr>
          <w:rFonts w:ascii="Arial" w:hAnsi="Arial" w:cs="Arial"/>
          <w:sz w:val="24"/>
          <w:szCs w:val="24"/>
        </w:rPr>
      </w:pPr>
      <w:r w:rsidRPr="00D81055">
        <w:rPr>
          <w:rFonts w:ascii="Arial" w:hAnsi="Arial" w:cs="Arial"/>
          <w:sz w:val="24"/>
          <w:szCs w:val="24"/>
        </w:rPr>
        <w:t>Load</w:t>
      </w:r>
    </w:p>
    <w:p w:rsidR="001B346E" w:rsidRPr="00D81055" w:rsidRDefault="006E6B02" w:rsidP="001B346E">
      <w:pPr>
        <w:pStyle w:val="ListParagraph"/>
        <w:numPr>
          <w:ilvl w:val="1"/>
          <w:numId w:val="8"/>
        </w:numPr>
        <w:tabs>
          <w:tab w:val="num" w:pos="1260"/>
        </w:tabs>
        <w:ind w:left="1260"/>
        <w:rPr>
          <w:rFonts w:ascii="Arial" w:hAnsi="Arial" w:cs="Arial"/>
          <w:sz w:val="24"/>
          <w:szCs w:val="24"/>
        </w:rPr>
      </w:pPr>
      <w:r>
        <w:rPr>
          <w:rFonts w:ascii="Arial" w:hAnsi="Arial" w:cs="Arial"/>
          <w:sz w:val="24"/>
          <w:szCs w:val="24"/>
        </w:rPr>
        <w:t>Base load increased by about 850</w:t>
      </w:r>
      <w:r w:rsidR="001B346E" w:rsidRPr="00D81055">
        <w:rPr>
          <w:rFonts w:ascii="Arial" w:hAnsi="Arial" w:cs="Arial"/>
          <w:sz w:val="24"/>
          <w:szCs w:val="24"/>
        </w:rPr>
        <w:t xml:space="preserve"> MWa (from original 2015 forecast)</w:t>
      </w:r>
    </w:p>
    <w:p w:rsidR="001B346E" w:rsidRPr="00D81055" w:rsidRDefault="001B346E" w:rsidP="001B346E">
      <w:pPr>
        <w:pStyle w:val="ListParagraph"/>
        <w:numPr>
          <w:ilvl w:val="1"/>
          <w:numId w:val="8"/>
        </w:numPr>
        <w:tabs>
          <w:tab w:val="num" w:pos="1260"/>
        </w:tabs>
        <w:ind w:left="1260"/>
        <w:rPr>
          <w:rFonts w:ascii="Arial" w:hAnsi="Arial" w:cs="Arial"/>
          <w:sz w:val="24"/>
          <w:szCs w:val="24"/>
        </w:rPr>
      </w:pPr>
      <w:r w:rsidRPr="00D81055">
        <w:rPr>
          <w:rFonts w:ascii="Arial" w:hAnsi="Arial" w:cs="Arial"/>
          <w:sz w:val="24"/>
          <w:szCs w:val="24"/>
        </w:rPr>
        <w:t>Adjustment for DS</w:t>
      </w:r>
      <w:r w:rsidR="006E6B02">
        <w:rPr>
          <w:rFonts w:ascii="Arial" w:hAnsi="Arial" w:cs="Arial"/>
          <w:sz w:val="24"/>
          <w:szCs w:val="24"/>
        </w:rPr>
        <w:t>I double counting 850 – 300 = 55</w:t>
      </w:r>
      <w:r w:rsidRPr="00D81055">
        <w:rPr>
          <w:rFonts w:ascii="Arial" w:hAnsi="Arial" w:cs="Arial"/>
          <w:sz w:val="24"/>
          <w:szCs w:val="24"/>
        </w:rPr>
        <w:t>0</w:t>
      </w:r>
    </w:p>
    <w:p w:rsidR="001B346E" w:rsidRPr="00D81055" w:rsidRDefault="001B346E" w:rsidP="001B346E">
      <w:pPr>
        <w:pStyle w:val="ListParagraph"/>
        <w:numPr>
          <w:ilvl w:val="1"/>
          <w:numId w:val="8"/>
        </w:numPr>
        <w:tabs>
          <w:tab w:val="num" w:pos="1260"/>
        </w:tabs>
        <w:ind w:left="1260"/>
        <w:rPr>
          <w:rFonts w:ascii="Arial" w:hAnsi="Arial" w:cs="Arial"/>
          <w:sz w:val="24"/>
          <w:szCs w:val="24"/>
        </w:rPr>
      </w:pPr>
      <w:r w:rsidRPr="00D81055">
        <w:rPr>
          <w:rFonts w:ascii="Arial" w:hAnsi="Arial" w:cs="Arial"/>
          <w:sz w:val="24"/>
          <w:szCs w:val="24"/>
        </w:rPr>
        <w:t>Adjustment for</w:t>
      </w:r>
      <w:r w:rsidR="006E6B02">
        <w:rPr>
          <w:rFonts w:ascii="Arial" w:hAnsi="Arial" w:cs="Arial"/>
          <w:sz w:val="24"/>
          <w:szCs w:val="24"/>
        </w:rPr>
        <w:t xml:space="preserve"> double counting conservation 550 + 170 = 720</w:t>
      </w:r>
    </w:p>
    <w:p w:rsidR="001B346E" w:rsidRPr="00D81055" w:rsidRDefault="001B346E" w:rsidP="001B346E">
      <w:pPr>
        <w:pStyle w:val="ListParagraph"/>
        <w:numPr>
          <w:ilvl w:val="1"/>
          <w:numId w:val="8"/>
        </w:numPr>
        <w:tabs>
          <w:tab w:val="num" w:pos="1260"/>
        </w:tabs>
        <w:ind w:left="1260"/>
        <w:rPr>
          <w:rFonts w:ascii="Arial" w:hAnsi="Arial" w:cs="Arial"/>
          <w:sz w:val="24"/>
          <w:szCs w:val="24"/>
        </w:rPr>
      </w:pPr>
      <w:r w:rsidRPr="00D81055">
        <w:rPr>
          <w:rFonts w:ascii="Arial" w:hAnsi="Arial" w:cs="Arial"/>
          <w:sz w:val="24"/>
          <w:szCs w:val="24"/>
        </w:rPr>
        <w:t>Adjustment fo</w:t>
      </w:r>
      <w:r w:rsidR="006E6B02">
        <w:rPr>
          <w:rFonts w:ascii="Arial" w:hAnsi="Arial" w:cs="Arial"/>
          <w:sz w:val="24"/>
          <w:szCs w:val="24"/>
        </w:rPr>
        <w:t>r double counting pumping load 720 – 130 = 590</w:t>
      </w:r>
    </w:p>
    <w:p w:rsidR="001B346E" w:rsidRDefault="006E6B02" w:rsidP="001B346E">
      <w:pPr>
        <w:pStyle w:val="ListParagraph"/>
        <w:numPr>
          <w:ilvl w:val="1"/>
          <w:numId w:val="8"/>
        </w:numPr>
        <w:tabs>
          <w:tab w:val="num" w:pos="1260"/>
        </w:tabs>
        <w:ind w:left="1260"/>
        <w:rPr>
          <w:rFonts w:ascii="Arial" w:hAnsi="Arial" w:cs="Arial"/>
          <w:color w:val="FF0000"/>
          <w:sz w:val="24"/>
          <w:szCs w:val="24"/>
        </w:rPr>
      </w:pPr>
      <w:r>
        <w:rPr>
          <w:rFonts w:ascii="Arial" w:hAnsi="Arial" w:cs="Arial"/>
          <w:color w:val="FF0000"/>
          <w:sz w:val="24"/>
          <w:szCs w:val="24"/>
        </w:rPr>
        <w:t>Net load increase 590</w:t>
      </w:r>
      <w:r w:rsidR="001B346E" w:rsidRPr="00D81055">
        <w:rPr>
          <w:rFonts w:ascii="Arial" w:hAnsi="Arial" w:cs="Arial"/>
          <w:color w:val="FF0000"/>
          <w:sz w:val="24"/>
          <w:szCs w:val="24"/>
        </w:rPr>
        <w:t xml:space="preserve"> MWa</w:t>
      </w:r>
    </w:p>
    <w:p w:rsidR="001B346E" w:rsidRPr="00D81055" w:rsidRDefault="001B346E" w:rsidP="001B346E">
      <w:pPr>
        <w:pStyle w:val="ListParagraph"/>
        <w:numPr>
          <w:ilvl w:val="0"/>
          <w:numId w:val="8"/>
        </w:numPr>
        <w:tabs>
          <w:tab w:val="num" w:pos="720"/>
        </w:tabs>
        <w:ind w:left="720"/>
        <w:rPr>
          <w:rFonts w:ascii="Arial" w:hAnsi="Arial" w:cs="Arial"/>
          <w:sz w:val="24"/>
          <w:szCs w:val="24"/>
        </w:rPr>
      </w:pPr>
      <w:r w:rsidRPr="00D81055">
        <w:rPr>
          <w:rFonts w:ascii="Arial" w:hAnsi="Arial" w:cs="Arial"/>
          <w:sz w:val="24"/>
          <w:szCs w:val="24"/>
        </w:rPr>
        <w:lastRenderedPageBreak/>
        <w:t>Resources</w:t>
      </w:r>
    </w:p>
    <w:p w:rsidR="001B346E" w:rsidRPr="00D81055" w:rsidRDefault="001B346E" w:rsidP="001B346E">
      <w:pPr>
        <w:pStyle w:val="ListParagraph"/>
        <w:numPr>
          <w:ilvl w:val="1"/>
          <w:numId w:val="8"/>
        </w:numPr>
        <w:tabs>
          <w:tab w:val="num" w:pos="1260"/>
        </w:tabs>
        <w:ind w:left="1260"/>
        <w:rPr>
          <w:rFonts w:ascii="Arial" w:hAnsi="Arial" w:cs="Arial"/>
          <w:sz w:val="24"/>
          <w:szCs w:val="24"/>
        </w:rPr>
      </w:pPr>
      <w:r w:rsidRPr="00D81055">
        <w:rPr>
          <w:rFonts w:ascii="Arial" w:hAnsi="Arial" w:cs="Arial"/>
          <w:sz w:val="24"/>
          <w:szCs w:val="24"/>
        </w:rPr>
        <w:t>New resources -530 MWa (Utah fix + contract changes)</w:t>
      </w:r>
    </w:p>
    <w:p w:rsidR="001B346E" w:rsidRPr="00D81055" w:rsidRDefault="001B346E" w:rsidP="001B346E">
      <w:pPr>
        <w:pStyle w:val="ListParagraph"/>
        <w:numPr>
          <w:ilvl w:val="1"/>
          <w:numId w:val="8"/>
        </w:numPr>
        <w:tabs>
          <w:tab w:val="num" w:pos="1260"/>
        </w:tabs>
        <w:ind w:left="1260"/>
        <w:rPr>
          <w:rFonts w:ascii="Arial" w:hAnsi="Arial" w:cs="Arial"/>
          <w:sz w:val="24"/>
          <w:szCs w:val="24"/>
        </w:rPr>
      </w:pPr>
      <w:r w:rsidRPr="00D81055">
        <w:rPr>
          <w:rFonts w:ascii="Arial" w:hAnsi="Arial" w:cs="Arial"/>
          <w:sz w:val="24"/>
          <w:szCs w:val="24"/>
        </w:rPr>
        <w:t>Adjustment for new hydro -530 + 270 = -260</w:t>
      </w:r>
    </w:p>
    <w:p w:rsidR="001B346E" w:rsidRPr="00D81055" w:rsidRDefault="001B346E" w:rsidP="001B346E">
      <w:pPr>
        <w:pStyle w:val="ListParagraph"/>
        <w:numPr>
          <w:ilvl w:val="1"/>
          <w:numId w:val="8"/>
        </w:numPr>
        <w:tabs>
          <w:tab w:val="num" w:pos="1260"/>
        </w:tabs>
        <w:ind w:left="1260"/>
        <w:rPr>
          <w:rFonts w:ascii="Arial" w:hAnsi="Arial" w:cs="Arial"/>
          <w:sz w:val="24"/>
          <w:szCs w:val="24"/>
        </w:rPr>
      </w:pPr>
      <w:r w:rsidRPr="00D81055">
        <w:rPr>
          <w:rFonts w:ascii="Arial" w:hAnsi="Arial" w:cs="Arial"/>
          <w:sz w:val="24"/>
          <w:szCs w:val="24"/>
        </w:rPr>
        <w:t>Adjustment for new thermal  -260 + 100 = -160</w:t>
      </w:r>
    </w:p>
    <w:p w:rsidR="00616B9C" w:rsidRPr="00616B9C" w:rsidRDefault="001B346E" w:rsidP="00616B9C">
      <w:pPr>
        <w:pStyle w:val="ListParagraph"/>
        <w:numPr>
          <w:ilvl w:val="1"/>
          <w:numId w:val="8"/>
        </w:numPr>
        <w:tabs>
          <w:tab w:val="num" w:pos="1260"/>
        </w:tabs>
        <w:ind w:left="1260"/>
        <w:rPr>
          <w:rFonts w:ascii="Arial" w:hAnsi="Arial" w:cs="Arial"/>
          <w:color w:val="FF0000"/>
          <w:sz w:val="24"/>
          <w:szCs w:val="24"/>
        </w:rPr>
      </w:pPr>
      <w:r w:rsidRPr="00616B9C">
        <w:rPr>
          <w:rFonts w:ascii="Arial" w:hAnsi="Arial" w:cs="Arial"/>
          <w:color w:val="FF0000"/>
          <w:sz w:val="24"/>
          <w:szCs w:val="24"/>
        </w:rPr>
        <w:t>Net resource increase -160 MWa</w:t>
      </w:r>
    </w:p>
    <w:p w:rsidR="001B346E" w:rsidRPr="006E6B02" w:rsidRDefault="001B346E" w:rsidP="00616B9C">
      <w:pPr>
        <w:pStyle w:val="ListParagraph"/>
        <w:numPr>
          <w:ilvl w:val="0"/>
          <w:numId w:val="8"/>
        </w:numPr>
        <w:ind w:left="720"/>
        <w:rPr>
          <w:rFonts w:ascii="Arial" w:hAnsi="Arial" w:cs="Arial"/>
          <w:b/>
          <w:color w:val="FF0000"/>
          <w:sz w:val="24"/>
          <w:szCs w:val="24"/>
        </w:rPr>
      </w:pPr>
      <w:r w:rsidRPr="006E6B02">
        <w:rPr>
          <w:rFonts w:ascii="Arial" w:hAnsi="Arial" w:cs="Arial"/>
          <w:b/>
          <w:color w:val="FF0000"/>
          <w:sz w:val="24"/>
          <w:szCs w:val="24"/>
        </w:rPr>
        <w:t>Net ov</w:t>
      </w:r>
      <w:r w:rsidR="006E6B02" w:rsidRPr="006E6B02">
        <w:rPr>
          <w:rFonts w:ascii="Arial" w:hAnsi="Arial" w:cs="Arial"/>
          <w:b/>
          <w:color w:val="FF0000"/>
          <w:sz w:val="24"/>
          <w:szCs w:val="24"/>
        </w:rPr>
        <w:t>erall change is an effective 750</w:t>
      </w:r>
      <w:r w:rsidRPr="006E6B02">
        <w:rPr>
          <w:rFonts w:ascii="Arial" w:hAnsi="Arial" w:cs="Arial"/>
          <w:b/>
          <w:color w:val="FF0000"/>
          <w:sz w:val="24"/>
          <w:szCs w:val="24"/>
        </w:rPr>
        <w:t xml:space="preserve"> MWa increase in load</w:t>
      </w:r>
    </w:p>
    <w:p w:rsidR="00D81055" w:rsidRDefault="00D81055" w:rsidP="00D81055">
      <w:pPr>
        <w:rPr>
          <w:rFonts w:ascii="Arial" w:hAnsi="Arial" w:cs="Arial"/>
          <w:b/>
          <w:sz w:val="24"/>
          <w:szCs w:val="24"/>
        </w:rPr>
      </w:pPr>
      <w:r w:rsidRPr="00D81055">
        <w:rPr>
          <w:rFonts w:ascii="Arial" w:hAnsi="Arial" w:cs="Arial"/>
          <w:b/>
          <w:sz w:val="24"/>
          <w:szCs w:val="24"/>
        </w:rPr>
        <w:t>Variable and Market Resources</w:t>
      </w:r>
    </w:p>
    <w:p w:rsidR="00D81055" w:rsidRDefault="00D81055" w:rsidP="00D81055">
      <w:pPr>
        <w:pStyle w:val="ListParagraph"/>
        <w:numPr>
          <w:ilvl w:val="0"/>
          <w:numId w:val="10"/>
        </w:numPr>
        <w:tabs>
          <w:tab w:val="num" w:pos="360"/>
        </w:tabs>
        <w:ind w:firstLine="0"/>
        <w:rPr>
          <w:rFonts w:ascii="Arial" w:hAnsi="Arial" w:cs="Arial"/>
          <w:sz w:val="24"/>
          <w:szCs w:val="24"/>
        </w:rPr>
      </w:pPr>
      <w:r w:rsidRPr="00D81055">
        <w:rPr>
          <w:rFonts w:ascii="Arial" w:hAnsi="Arial" w:cs="Arial"/>
          <w:sz w:val="24"/>
          <w:szCs w:val="24"/>
        </w:rPr>
        <w:t>On-peak winter SW market decreased by 1,300 MW</w:t>
      </w:r>
    </w:p>
    <w:p w:rsidR="00D81055" w:rsidRDefault="00D81055" w:rsidP="00D81055">
      <w:pPr>
        <w:pStyle w:val="ListParagraph"/>
        <w:numPr>
          <w:ilvl w:val="0"/>
          <w:numId w:val="10"/>
        </w:numPr>
        <w:tabs>
          <w:tab w:val="num" w:pos="360"/>
        </w:tabs>
        <w:ind w:firstLine="0"/>
        <w:rPr>
          <w:rFonts w:ascii="Arial" w:hAnsi="Arial" w:cs="Arial"/>
          <w:sz w:val="24"/>
          <w:szCs w:val="24"/>
        </w:rPr>
      </w:pPr>
      <w:r w:rsidRPr="00D81055">
        <w:rPr>
          <w:rFonts w:ascii="Arial" w:hAnsi="Arial" w:cs="Arial"/>
          <w:sz w:val="24"/>
          <w:szCs w:val="24"/>
        </w:rPr>
        <w:t>Wind generation increased by 1,300 MW</w:t>
      </w:r>
    </w:p>
    <w:p w:rsidR="001B346E" w:rsidRPr="00D81055" w:rsidRDefault="001B346E" w:rsidP="00D81055">
      <w:pPr>
        <w:pStyle w:val="ListParagraph"/>
        <w:numPr>
          <w:ilvl w:val="0"/>
          <w:numId w:val="10"/>
        </w:numPr>
        <w:tabs>
          <w:tab w:val="num" w:pos="360"/>
        </w:tabs>
        <w:ind w:firstLine="0"/>
        <w:rPr>
          <w:rFonts w:ascii="Arial" w:hAnsi="Arial" w:cs="Arial"/>
          <w:sz w:val="24"/>
          <w:szCs w:val="24"/>
        </w:rPr>
      </w:pPr>
      <w:r>
        <w:rPr>
          <w:rFonts w:ascii="Arial" w:hAnsi="Arial" w:cs="Arial"/>
          <w:sz w:val="24"/>
          <w:szCs w:val="24"/>
        </w:rPr>
        <w:t>Using temperature-correlated wind data instead of historic (2008-10)</w:t>
      </w:r>
    </w:p>
    <w:p w:rsidR="00D81055" w:rsidRPr="00D81055" w:rsidRDefault="00D81055" w:rsidP="00D81055">
      <w:pPr>
        <w:rPr>
          <w:rFonts w:ascii="Arial" w:hAnsi="Arial" w:cs="Arial"/>
          <w:b/>
          <w:sz w:val="24"/>
          <w:szCs w:val="24"/>
        </w:rPr>
      </w:pPr>
      <w:r>
        <w:rPr>
          <w:rFonts w:ascii="Arial" w:hAnsi="Arial" w:cs="Arial"/>
          <w:b/>
          <w:sz w:val="24"/>
          <w:szCs w:val="24"/>
        </w:rPr>
        <w:t>Modeling Changes</w:t>
      </w:r>
    </w:p>
    <w:p w:rsidR="00D81055" w:rsidRDefault="00D81055" w:rsidP="00D81055">
      <w:pPr>
        <w:pStyle w:val="ListParagraph"/>
        <w:numPr>
          <w:ilvl w:val="0"/>
          <w:numId w:val="1"/>
        </w:numPr>
        <w:rPr>
          <w:rFonts w:ascii="Arial" w:hAnsi="Arial" w:cs="Arial"/>
          <w:sz w:val="24"/>
          <w:szCs w:val="24"/>
        </w:rPr>
      </w:pPr>
      <w:r>
        <w:rPr>
          <w:rFonts w:ascii="Arial" w:hAnsi="Arial" w:cs="Arial"/>
          <w:sz w:val="24"/>
          <w:szCs w:val="24"/>
        </w:rPr>
        <w:t>Fine tuned the hourly hydro dispatch logic (still have some issues with daily shaping combined with purchase ahead logic, which could cause false positive curtailments but they can be screened out post analysis)</w:t>
      </w:r>
    </w:p>
    <w:p w:rsidR="00D81055" w:rsidRDefault="00D81055" w:rsidP="00D81055">
      <w:pPr>
        <w:pStyle w:val="ListParagraph"/>
        <w:numPr>
          <w:ilvl w:val="0"/>
          <w:numId w:val="1"/>
        </w:numPr>
        <w:rPr>
          <w:rFonts w:ascii="Arial" w:hAnsi="Arial" w:cs="Arial"/>
          <w:sz w:val="24"/>
          <w:szCs w:val="24"/>
        </w:rPr>
      </w:pPr>
      <w:r>
        <w:rPr>
          <w:rFonts w:ascii="Arial" w:hAnsi="Arial" w:cs="Arial"/>
          <w:sz w:val="24"/>
          <w:szCs w:val="24"/>
        </w:rPr>
        <w:t>Added ability to do TSR studies (does not affect the adequacy assessment)</w:t>
      </w:r>
    </w:p>
    <w:p w:rsidR="00D81055" w:rsidRDefault="00D81055" w:rsidP="00D81055">
      <w:pPr>
        <w:pStyle w:val="ListParagraph"/>
        <w:numPr>
          <w:ilvl w:val="0"/>
          <w:numId w:val="1"/>
        </w:numPr>
        <w:rPr>
          <w:rFonts w:ascii="Arial" w:hAnsi="Arial" w:cs="Arial"/>
          <w:sz w:val="24"/>
          <w:szCs w:val="24"/>
        </w:rPr>
      </w:pPr>
      <w:r>
        <w:rPr>
          <w:rFonts w:ascii="Arial" w:hAnsi="Arial" w:cs="Arial"/>
          <w:sz w:val="24"/>
          <w:szCs w:val="24"/>
        </w:rPr>
        <w:t>Added ability to do sub-year studies and use synthetic stream flow data (ESP model, also does not affect assessment)</w:t>
      </w:r>
    </w:p>
    <w:p w:rsidR="007145F8" w:rsidRPr="00835B4E" w:rsidRDefault="007216A7" w:rsidP="007145F8">
      <w:pPr>
        <w:rPr>
          <w:rFonts w:ascii="Arial" w:hAnsi="Arial" w:cs="Arial"/>
          <w:b/>
          <w:color w:val="0070C0"/>
          <w:sz w:val="28"/>
          <w:szCs w:val="28"/>
        </w:rPr>
      </w:pPr>
      <w:r w:rsidRPr="00835B4E">
        <w:rPr>
          <w:rFonts w:ascii="Arial" w:hAnsi="Arial" w:cs="Arial"/>
          <w:b/>
          <w:color w:val="0070C0"/>
          <w:sz w:val="28"/>
          <w:szCs w:val="28"/>
        </w:rPr>
        <w:t>Preliminary Assessment for 2017</w:t>
      </w:r>
      <w:r w:rsidR="006F504A" w:rsidRPr="00835B4E">
        <w:rPr>
          <w:rFonts w:ascii="Arial" w:hAnsi="Arial" w:cs="Arial"/>
          <w:b/>
          <w:color w:val="0070C0"/>
          <w:sz w:val="28"/>
          <w:szCs w:val="28"/>
        </w:rPr>
        <w:br/>
        <w:t xml:space="preserve">(Still under review, not for </w:t>
      </w:r>
      <w:r w:rsidR="0025639B" w:rsidRPr="00835B4E">
        <w:rPr>
          <w:rFonts w:ascii="Arial" w:hAnsi="Arial" w:cs="Arial"/>
          <w:b/>
          <w:color w:val="0070C0"/>
          <w:sz w:val="28"/>
          <w:szCs w:val="28"/>
        </w:rPr>
        <w:t xml:space="preserve">general </w:t>
      </w:r>
      <w:r w:rsidR="006F504A" w:rsidRPr="00835B4E">
        <w:rPr>
          <w:rFonts w:ascii="Arial" w:hAnsi="Arial" w:cs="Arial"/>
          <w:b/>
          <w:color w:val="0070C0"/>
          <w:sz w:val="28"/>
          <w:szCs w:val="28"/>
        </w:rPr>
        <w:t>distribution)</w:t>
      </w:r>
    </w:p>
    <w:p w:rsidR="00C103E3" w:rsidRPr="00C103E3" w:rsidRDefault="00C103E3" w:rsidP="007145F8">
      <w:pPr>
        <w:pStyle w:val="ListParagraph"/>
        <w:numPr>
          <w:ilvl w:val="0"/>
          <w:numId w:val="3"/>
        </w:numPr>
        <w:rPr>
          <w:rFonts w:ascii="Arial" w:hAnsi="Arial" w:cs="Arial"/>
          <w:sz w:val="24"/>
          <w:szCs w:val="24"/>
        </w:rPr>
      </w:pPr>
      <w:r>
        <w:rPr>
          <w:rFonts w:ascii="Arial" w:hAnsi="Arial" w:cs="Arial"/>
          <w:sz w:val="24"/>
          <w:szCs w:val="24"/>
        </w:rPr>
        <w:t xml:space="preserve">Reference case </w:t>
      </w:r>
      <w:r w:rsidR="00C948A9">
        <w:rPr>
          <w:rFonts w:ascii="Arial" w:hAnsi="Arial" w:cs="Arial"/>
          <w:sz w:val="24"/>
          <w:szCs w:val="24"/>
        </w:rPr>
        <w:t xml:space="preserve">LOLP for 2017 is </w:t>
      </w:r>
      <w:r w:rsidR="00884C93" w:rsidRPr="00006099">
        <w:rPr>
          <w:rFonts w:ascii="Arial" w:hAnsi="Arial" w:cs="Arial"/>
          <w:color w:val="FF0000"/>
          <w:sz w:val="24"/>
          <w:szCs w:val="24"/>
        </w:rPr>
        <w:t>6.9%</w:t>
      </w:r>
      <w:r w:rsidR="00006099" w:rsidRPr="00006099">
        <w:rPr>
          <w:rFonts w:ascii="Arial" w:hAnsi="Arial" w:cs="Arial"/>
          <w:color w:val="FF0000"/>
          <w:sz w:val="24"/>
          <w:szCs w:val="24"/>
        </w:rPr>
        <w:t xml:space="preserve"> ± 2.9% </w:t>
      </w:r>
      <w:r w:rsidRPr="00C103E3">
        <w:rPr>
          <w:rFonts w:ascii="Arial" w:hAnsi="Arial" w:cs="Arial"/>
          <w:sz w:val="24"/>
          <w:szCs w:val="24"/>
        </w:rPr>
        <w:t>(95% confidence level)</w:t>
      </w:r>
    </w:p>
    <w:p w:rsidR="00884C93" w:rsidRDefault="00C103E3" w:rsidP="00C103E3">
      <w:pPr>
        <w:pStyle w:val="ListParagraph"/>
        <w:numPr>
          <w:ilvl w:val="1"/>
          <w:numId w:val="3"/>
        </w:numPr>
        <w:rPr>
          <w:rFonts w:ascii="Arial" w:hAnsi="Arial" w:cs="Arial"/>
          <w:sz w:val="24"/>
          <w:szCs w:val="24"/>
        </w:rPr>
      </w:pPr>
      <w:r>
        <w:rPr>
          <w:rFonts w:ascii="Arial" w:hAnsi="Arial" w:cs="Arial"/>
          <w:sz w:val="24"/>
          <w:szCs w:val="24"/>
        </w:rPr>
        <w:t>Reference case uses Council’s medium load forecast</w:t>
      </w:r>
    </w:p>
    <w:p w:rsidR="00C103E3" w:rsidRDefault="00C103E3" w:rsidP="00C103E3">
      <w:pPr>
        <w:pStyle w:val="ListParagraph"/>
        <w:numPr>
          <w:ilvl w:val="1"/>
          <w:numId w:val="3"/>
        </w:numPr>
        <w:rPr>
          <w:rFonts w:ascii="Arial" w:hAnsi="Arial" w:cs="Arial"/>
          <w:sz w:val="24"/>
          <w:szCs w:val="24"/>
        </w:rPr>
      </w:pPr>
      <w:r>
        <w:rPr>
          <w:rFonts w:ascii="Arial" w:hAnsi="Arial" w:cs="Arial"/>
          <w:sz w:val="24"/>
          <w:szCs w:val="24"/>
        </w:rPr>
        <w:t>Expected, sited and licensed resources</w:t>
      </w:r>
    </w:p>
    <w:p w:rsidR="00C103E3" w:rsidRDefault="00C103E3" w:rsidP="00C103E3">
      <w:pPr>
        <w:pStyle w:val="ListParagraph"/>
        <w:numPr>
          <w:ilvl w:val="1"/>
          <w:numId w:val="3"/>
        </w:numPr>
        <w:rPr>
          <w:rFonts w:ascii="Arial" w:hAnsi="Arial" w:cs="Arial"/>
          <w:sz w:val="24"/>
          <w:szCs w:val="24"/>
        </w:rPr>
      </w:pPr>
      <w:r>
        <w:rPr>
          <w:rFonts w:ascii="Arial" w:hAnsi="Arial" w:cs="Arial"/>
          <w:sz w:val="24"/>
          <w:szCs w:val="24"/>
        </w:rPr>
        <w:t>6</w:t>
      </w:r>
      <w:r w:rsidRPr="00C103E3">
        <w:rPr>
          <w:rFonts w:ascii="Arial" w:hAnsi="Arial" w:cs="Arial"/>
          <w:sz w:val="24"/>
          <w:szCs w:val="24"/>
          <w:vertAlign w:val="superscript"/>
        </w:rPr>
        <w:t>th</w:t>
      </w:r>
      <w:r>
        <w:rPr>
          <w:rFonts w:ascii="Arial" w:hAnsi="Arial" w:cs="Arial"/>
          <w:sz w:val="24"/>
          <w:szCs w:val="24"/>
        </w:rPr>
        <w:t xml:space="preserve"> plan conservation</w:t>
      </w:r>
      <w:r w:rsidR="00C948A9">
        <w:rPr>
          <w:rFonts w:ascii="Arial" w:hAnsi="Arial" w:cs="Arial"/>
          <w:sz w:val="24"/>
          <w:szCs w:val="24"/>
        </w:rPr>
        <w:t xml:space="preserve"> target for 2017</w:t>
      </w:r>
    </w:p>
    <w:p w:rsidR="00C103E3" w:rsidRDefault="00C103E3" w:rsidP="00C103E3">
      <w:pPr>
        <w:pStyle w:val="ListParagraph"/>
        <w:numPr>
          <w:ilvl w:val="1"/>
          <w:numId w:val="3"/>
        </w:numPr>
        <w:rPr>
          <w:rFonts w:ascii="Arial" w:hAnsi="Arial" w:cs="Arial"/>
          <w:sz w:val="24"/>
          <w:szCs w:val="24"/>
        </w:rPr>
      </w:pPr>
      <w:r>
        <w:rPr>
          <w:rFonts w:ascii="Arial" w:hAnsi="Arial" w:cs="Arial"/>
          <w:sz w:val="24"/>
          <w:szCs w:val="24"/>
        </w:rPr>
        <w:t>1,700 MW winter on-peak SW market</w:t>
      </w:r>
      <w:r w:rsidR="00C948A9">
        <w:rPr>
          <w:rFonts w:ascii="Arial" w:hAnsi="Arial" w:cs="Arial"/>
          <w:sz w:val="24"/>
          <w:szCs w:val="24"/>
        </w:rPr>
        <w:t xml:space="preserve">, 0 MW summer on-peak market </w:t>
      </w:r>
    </w:p>
    <w:p w:rsidR="00C948A9" w:rsidRDefault="00C948A9" w:rsidP="00C103E3">
      <w:pPr>
        <w:pStyle w:val="ListParagraph"/>
        <w:numPr>
          <w:ilvl w:val="1"/>
          <w:numId w:val="3"/>
        </w:numPr>
        <w:rPr>
          <w:rFonts w:ascii="Arial" w:hAnsi="Arial" w:cs="Arial"/>
          <w:sz w:val="24"/>
          <w:szCs w:val="24"/>
        </w:rPr>
      </w:pPr>
      <w:r>
        <w:rPr>
          <w:rFonts w:ascii="Arial" w:hAnsi="Arial" w:cs="Arial"/>
          <w:sz w:val="24"/>
          <w:szCs w:val="24"/>
        </w:rPr>
        <w:t>3,000 MW off-peak SW market both winter and summer</w:t>
      </w:r>
    </w:p>
    <w:p w:rsidR="00C948A9" w:rsidRDefault="00C948A9" w:rsidP="00C103E3">
      <w:pPr>
        <w:pStyle w:val="ListParagraph"/>
        <w:numPr>
          <w:ilvl w:val="1"/>
          <w:numId w:val="3"/>
        </w:numPr>
        <w:rPr>
          <w:rFonts w:ascii="Arial" w:hAnsi="Arial" w:cs="Arial"/>
          <w:sz w:val="24"/>
          <w:szCs w:val="24"/>
        </w:rPr>
      </w:pPr>
      <w:r>
        <w:rPr>
          <w:rFonts w:ascii="Arial" w:hAnsi="Arial" w:cs="Arial"/>
          <w:sz w:val="24"/>
          <w:szCs w:val="24"/>
        </w:rPr>
        <w:t>4,400 MW wind and temperature-correlated wind capacity factors</w:t>
      </w:r>
    </w:p>
    <w:p w:rsidR="00C103E3" w:rsidRPr="00C103E3" w:rsidRDefault="00C103E3" w:rsidP="00C103E3">
      <w:pPr>
        <w:pStyle w:val="ListParagraph"/>
        <w:numPr>
          <w:ilvl w:val="1"/>
          <w:numId w:val="3"/>
        </w:numPr>
        <w:rPr>
          <w:rFonts w:ascii="Arial" w:hAnsi="Arial" w:cs="Arial"/>
          <w:sz w:val="24"/>
          <w:szCs w:val="24"/>
        </w:rPr>
      </w:pPr>
      <w:r>
        <w:rPr>
          <w:rFonts w:ascii="Arial" w:hAnsi="Arial" w:cs="Arial"/>
          <w:sz w:val="24"/>
          <w:szCs w:val="24"/>
        </w:rPr>
        <w:t xml:space="preserve">95% confidence interval </w:t>
      </w:r>
      <w:r w:rsidR="00C948A9">
        <w:rPr>
          <w:rFonts w:ascii="Arial" w:hAnsi="Arial" w:cs="Arial"/>
          <w:sz w:val="24"/>
          <w:szCs w:val="24"/>
        </w:rPr>
        <w:t xml:space="preserve">is </w:t>
      </w:r>
      <w:r>
        <w:rPr>
          <w:rFonts w:ascii="Arial" w:hAnsi="Arial" w:cs="Arial"/>
          <w:sz w:val="24"/>
          <w:szCs w:val="24"/>
        </w:rPr>
        <w:t xml:space="preserve">based on load uncertainty </w:t>
      </w:r>
      <w:r w:rsidR="00C948A9">
        <w:rPr>
          <w:rFonts w:ascii="Arial" w:hAnsi="Arial" w:cs="Arial"/>
          <w:sz w:val="24"/>
          <w:szCs w:val="24"/>
        </w:rPr>
        <w:t xml:space="preserve">from Council’s </w:t>
      </w:r>
      <w:r>
        <w:rPr>
          <w:rFonts w:ascii="Arial" w:hAnsi="Arial" w:cs="Arial"/>
          <w:sz w:val="24"/>
          <w:szCs w:val="24"/>
        </w:rPr>
        <w:t xml:space="preserve">low to high </w:t>
      </w:r>
      <w:r w:rsidR="00C948A9">
        <w:rPr>
          <w:rFonts w:ascii="Arial" w:hAnsi="Arial" w:cs="Arial"/>
          <w:sz w:val="24"/>
          <w:szCs w:val="24"/>
        </w:rPr>
        <w:t xml:space="preserve">forecast </w:t>
      </w:r>
      <w:r>
        <w:rPr>
          <w:rFonts w:ascii="Arial" w:hAnsi="Arial" w:cs="Arial"/>
          <w:sz w:val="24"/>
          <w:szCs w:val="24"/>
        </w:rPr>
        <w:t xml:space="preserve">and winter on-peak </w:t>
      </w:r>
      <w:r w:rsidR="00C948A9">
        <w:rPr>
          <w:rFonts w:ascii="Arial" w:hAnsi="Arial" w:cs="Arial"/>
          <w:sz w:val="24"/>
          <w:szCs w:val="24"/>
        </w:rPr>
        <w:t xml:space="preserve">SW </w:t>
      </w:r>
      <w:r>
        <w:rPr>
          <w:rFonts w:ascii="Arial" w:hAnsi="Arial" w:cs="Arial"/>
          <w:sz w:val="24"/>
          <w:szCs w:val="24"/>
        </w:rPr>
        <w:t xml:space="preserve">market range from </w:t>
      </w:r>
      <w:r w:rsidR="00C948A9">
        <w:rPr>
          <w:rFonts w:ascii="Arial" w:hAnsi="Arial" w:cs="Arial"/>
          <w:sz w:val="24"/>
          <w:szCs w:val="24"/>
        </w:rPr>
        <w:t>0</w:t>
      </w:r>
      <w:r>
        <w:rPr>
          <w:rFonts w:ascii="Arial" w:hAnsi="Arial" w:cs="Arial"/>
          <w:sz w:val="24"/>
          <w:szCs w:val="24"/>
        </w:rPr>
        <w:t xml:space="preserve"> to 3,200 MW)</w:t>
      </w:r>
    </w:p>
    <w:p w:rsidR="00006099" w:rsidRDefault="00C948A9" w:rsidP="007145F8">
      <w:pPr>
        <w:pStyle w:val="ListParagraph"/>
        <w:numPr>
          <w:ilvl w:val="0"/>
          <w:numId w:val="3"/>
        </w:numPr>
        <w:rPr>
          <w:rFonts w:ascii="Arial" w:hAnsi="Arial" w:cs="Arial"/>
          <w:sz w:val="24"/>
          <w:szCs w:val="24"/>
        </w:rPr>
      </w:pPr>
      <w:r>
        <w:rPr>
          <w:rFonts w:ascii="Arial" w:hAnsi="Arial" w:cs="Arial"/>
          <w:sz w:val="24"/>
          <w:szCs w:val="24"/>
        </w:rPr>
        <w:t>U</w:t>
      </w:r>
      <w:r w:rsidR="00C103E3">
        <w:rPr>
          <w:rFonts w:ascii="Arial" w:hAnsi="Arial" w:cs="Arial"/>
          <w:sz w:val="24"/>
          <w:szCs w:val="24"/>
        </w:rPr>
        <w:t xml:space="preserve">ncertainty </w:t>
      </w:r>
      <w:r>
        <w:rPr>
          <w:rFonts w:ascii="Arial" w:hAnsi="Arial" w:cs="Arial"/>
          <w:sz w:val="24"/>
          <w:szCs w:val="24"/>
        </w:rPr>
        <w:t xml:space="preserve">in mean due to different sets of temp-correlated wind data is </w:t>
      </w:r>
      <w:r>
        <w:rPr>
          <w:rFonts w:ascii="Arial" w:hAnsi="Arial" w:cs="Arial"/>
          <w:color w:val="FF0000"/>
          <w:sz w:val="24"/>
          <w:szCs w:val="24"/>
        </w:rPr>
        <w:t>± 1</w:t>
      </w:r>
      <w:r w:rsidR="00C103E3">
        <w:rPr>
          <w:rFonts w:ascii="Arial" w:hAnsi="Arial" w:cs="Arial"/>
          <w:color w:val="FF0000"/>
          <w:sz w:val="24"/>
          <w:szCs w:val="24"/>
        </w:rPr>
        <w:t>.0</w:t>
      </w:r>
      <w:r w:rsidR="00C103E3" w:rsidRPr="00006099">
        <w:rPr>
          <w:rFonts w:ascii="Arial" w:hAnsi="Arial" w:cs="Arial"/>
          <w:color w:val="FF0000"/>
          <w:sz w:val="24"/>
          <w:szCs w:val="24"/>
        </w:rPr>
        <w:t>%</w:t>
      </w:r>
      <w:r w:rsidR="00C103E3">
        <w:rPr>
          <w:rFonts w:ascii="Arial" w:hAnsi="Arial" w:cs="Arial"/>
          <w:color w:val="FF0000"/>
          <w:sz w:val="24"/>
          <w:szCs w:val="24"/>
        </w:rPr>
        <w:t xml:space="preserve"> </w:t>
      </w:r>
    </w:p>
    <w:p w:rsidR="0079144F" w:rsidRPr="00C948A9" w:rsidRDefault="00C948A9" w:rsidP="0079144F">
      <w:pPr>
        <w:pStyle w:val="ListParagraph"/>
        <w:numPr>
          <w:ilvl w:val="0"/>
          <w:numId w:val="3"/>
        </w:numPr>
        <w:rPr>
          <w:rFonts w:ascii="Arial" w:hAnsi="Arial" w:cs="Arial"/>
          <w:sz w:val="24"/>
          <w:szCs w:val="24"/>
        </w:rPr>
      </w:pPr>
      <w:r>
        <w:rPr>
          <w:rFonts w:ascii="Arial" w:hAnsi="Arial" w:cs="Arial"/>
          <w:sz w:val="24"/>
          <w:szCs w:val="24"/>
        </w:rPr>
        <w:t xml:space="preserve">Using non temp-correlated wind data lowers LOLP by </w:t>
      </w:r>
      <w:r w:rsidR="001E3009">
        <w:rPr>
          <w:rFonts w:ascii="Arial" w:hAnsi="Arial" w:cs="Arial"/>
          <w:sz w:val="24"/>
          <w:szCs w:val="24"/>
        </w:rPr>
        <w:t>an in</w:t>
      </w:r>
      <w:r>
        <w:rPr>
          <w:rFonts w:ascii="Arial" w:hAnsi="Arial" w:cs="Arial"/>
          <w:sz w:val="24"/>
          <w:szCs w:val="24"/>
        </w:rPr>
        <w:t>significant</w:t>
      </w:r>
      <w:r w:rsidR="00835B4E">
        <w:rPr>
          <w:rFonts w:ascii="Arial" w:hAnsi="Arial" w:cs="Arial"/>
          <w:sz w:val="24"/>
          <w:szCs w:val="24"/>
        </w:rPr>
        <w:t xml:space="preserve"> </w:t>
      </w:r>
      <w:r w:rsidR="001E3009">
        <w:rPr>
          <w:rFonts w:ascii="Arial" w:hAnsi="Arial" w:cs="Arial"/>
          <w:sz w:val="24"/>
          <w:szCs w:val="24"/>
        </w:rPr>
        <w:t xml:space="preserve">amount </w:t>
      </w:r>
      <w:r w:rsidR="00835B4E">
        <w:rPr>
          <w:rFonts w:ascii="Arial" w:hAnsi="Arial" w:cs="Arial"/>
          <w:sz w:val="24"/>
          <w:szCs w:val="24"/>
        </w:rPr>
        <w:t>and could indicate that most curtailments do not occur during peak load hours</w:t>
      </w:r>
      <w:r>
        <w:rPr>
          <w:rFonts w:ascii="Arial" w:hAnsi="Arial" w:cs="Arial"/>
          <w:sz w:val="24"/>
          <w:szCs w:val="24"/>
        </w:rPr>
        <w:t>)</w:t>
      </w:r>
    </w:p>
    <w:p w:rsidR="00C948A9" w:rsidRDefault="00C948A9" w:rsidP="0079144F">
      <w:pPr>
        <w:pStyle w:val="ListParagraph"/>
        <w:numPr>
          <w:ilvl w:val="0"/>
          <w:numId w:val="3"/>
        </w:numPr>
        <w:rPr>
          <w:rFonts w:ascii="Arial" w:hAnsi="Arial" w:cs="Arial"/>
          <w:sz w:val="24"/>
          <w:szCs w:val="24"/>
        </w:rPr>
      </w:pPr>
      <w:r>
        <w:rPr>
          <w:rFonts w:ascii="Arial" w:hAnsi="Arial" w:cs="Arial"/>
          <w:sz w:val="24"/>
          <w:szCs w:val="24"/>
        </w:rPr>
        <w:t xml:space="preserve">Using historic 2018-10 wind data lowers LOLP mean by </w:t>
      </w:r>
      <w:r w:rsidR="001914CD">
        <w:rPr>
          <w:rFonts w:ascii="Arial" w:hAnsi="Arial" w:cs="Arial"/>
          <w:sz w:val="24"/>
          <w:szCs w:val="24"/>
        </w:rPr>
        <w:t xml:space="preserve">a little </w:t>
      </w:r>
      <w:r w:rsidR="001E3009">
        <w:rPr>
          <w:rFonts w:ascii="Arial" w:hAnsi="Arial" w:cs="Arial"/>
          <w:sz w:val="24"/>
          <w:szCs w:val="24"/>
        </w:rPr>
        <w:t>less than 1%</w:t>
      </w:r>
      <w:r w:rsidR="00835B4E">
        <w:rPr>
          <w:rFonts w:ascii="Arial" w:hAnsi="Arial" w:cs="Arial"/>
          <w:color w:val="FF0000"/>
          <w:sz w:val="24"/>
          <w:szCs w:val="24"/>
        </w:rPr>
        <w:t xml:space="preserve"> </w:t>
      </w:r>
      <w:r w:rsidR="00835B4E" w:rsidRPr="00835B4E">
        <w:rPr>
          <w:rFonts w:ascii="Arial" w:hAnsi="Arial" w:cs="Arial"/>
          <w:sz w:val="24"/>
          <w:szCs w:val="24"/>
        </w:rPr>
        <w:t>(</w:t>
      </w:r>
      <w:r w:rsidR="00835B4E">
        <w:rPr>
          <w:rFonts w:ascii="Arial" w:hAnsi="Arial" w:cs="Arial"/>
          <w:sz w:val="24"/>
          <w:szCs w:val="24"/>
        </w:rPr>
        <w:t>too little data, not recommended for analysis)</w:t>
      </w:r>
    </w:p>
    <w:p w:rsidR="001914CD" w:rsidRPr="00835B4E" w:rsidRDefault="001914CD" w:rsidP="0079144F">
      <w:pPr>
        <w:pStyle w:val="ListParagraph"/>
        <w:numPr>
          <w:ilvl w:val="0"/>
          <w:numId w:val="3"/>
        </w:numPr>
        <w:rPr>
          <w:rFonts w:ascii="Arial" w:hAnsi="Arial" w:cs="Arial"/>
          <w:sz w:val="24"/>
          <w:szCs w:val="24"/>
        </w:rPr>
      </w:pPr>
      <w:r>
        <w:rPr>
          <w:rFonts w:ascii="Arial" w:hAnsi="Arial" w:cs="Arial"/>
          <w:sz w:val="24"/>
          <w:szCs w:val="24"/>
        </w:rPr>
        <w:t>Taking CGS off maintenance in June could reduce LOLP by up to 2% (estimate based on 210 game study)</w:t>
      </w:r>
    </w:p>
    <w:p w:rsidR="00835B4E" w:rsidRPr="00835B4E" w:rsidRDefault="001914CD">
      <w:pPr>
        <w:rPr>
          <w:rFonts w:ascii="Arial" w:hAnsi="Arial" w:cs="Arial"/>
          <w:b/>
          <w:color w:val="0070C0"/>
          <w:sz w:val="28"/>
          <w:szCs w:val="28"/>
        </w:rPr>
      </w:pPr>
      <w:r>
        <w:rPr>
          <w:rFonts w:ascii="Arial" w:hAnsi="Arial" w:cs="Arial"/>
          <w:b/>
          <w:color w:val="0070C0"/>
          <w:sz w:val="28"/>
          <w:szCs w:val="28"/>
        </w:rPr>
        <w:br w:type="page"/>
      </w:r>
      <w:r w:rsidR="00835B4E" w:rsidRPr="00835B4E">
        <w:rPr>
          <w:rFonts w:ascii="Arial" w:hAnsi="Arial" w:cs="Arial"/>
          <w:b/>
          <w:color w:val="0070C0"/>
          <w:sz w:val="28"/>
          <w:szCs w:val="28"/>
        </w:rPr>
        <w:lastRenderedPageBreak/>
        <w:t>How did we get from last year’s 1% LOLP for 2015 to 6.9% for 2017?</w:t>
      </w:r>
    </w:p>
    <w:p w:rsidR="00835B4E" w:rsidRDefault="00835B4E" w:rsidP="00835B4E">
      <w:pPr>
        <w:rPr>
          <w:rFonts w:ascii="Arial" w:hAnsi="Arial" w:cs="Arial"/>
          <w:sz w:val="24"/>
          <w:szCs w:val="24"/>
        </w:rPr>
      </w:pPr>
      <w:r>
        <w:rPr>
          <w:rFonts w:ascii="Arial" w:hAnsi="Arial" w:cs="Arial"/>
          <w:sz w:val="24"/>
          <w:szCs w:val="24"/>
        </w:rPr>
        <w:t xml:space="preserve">The following incremental changes to LOLP are mostly </w:t>
      </w:r>
      <w:r w:rsidRPr="008B3E4A">
        <w:rPr>
          <w:rFonts w:ascii="Arial" w:hAnsi="Arial" w:cs="Arial"/>
          <w:color w:val="FF0000"/>
          <w:sz w:val="24"/>
          <w:szCs w:val="24"/>
        </w:rPr>
        <w:t>illustrative</w:t>
      </w:r>
      <w:r>
        <w:rPr>
          <w:rFonts w:ascii="Arial" w:hAnsi="Arial" w:cs="Arial"/>
          <w:sz w:val="24"/>
          <w:szCs w:val="24"/>
        </w:rPr>
        <w:t xml:space="preserve"> to indicate the relative size of the impact of each parameter.  It should be noted that these parameters are not independent of each other.</w:t>
      </w:r>
      <w:r w:rsidR="000978C5">
        <w:rPr>
          <w:rFonts w:ascii="Arial" w:hAnsi="Arial" w:cs="Arial"/>
          <w:sz w:val="24"/>
          <w:szCs w:val="24"/>
        </w:rPr>
        <w:t xml:space="preserve">  It should also be noted that last year’s 1% LOLP for 2015 had errors, which if corrected would have yielded a higher (but still under 5%</w:t>
      </w:r>
      <w:r w:rsidR="00A50228">
        <w:rPr>
          <w:rFonts w:ascii="Arial" w:hAnsi="Arial" w:cs="Arial"/>
          <w:sz w:val="24"/>
          <w:szCs w:val="24"/>
        </w:rPr>
        <w:t>)</w:t>
      </w:r>
      <w:r w:rsidR="000978C5">
        <w:rPr>
          <w:rFonts w:ascii="Arial" w:hAnsi="Arial" w:cs="Arial"/>
          <w:sz w:val="24"/>
          <w:szCs w:val="24"/>
        </w:rPr>
        <w:t xml:space="preserve"> LOLP. </w:t>
      </w:r>
    </w:p>
    <w:p w:rsidR="004D1FE0" w:rsidRDefault="004D1FE0" w:rsidP="00835B4E">
      <w:pPr>
        <w:pStyle w:val="ListParagraph"/>
        <w:numPr>
          <w:ilvl w:val="0"/>
          <w:numId w:val="16"/>
        </w:numPr>
        <w:rPr>
          <w:rFonts w:ascii="Arial" w:hAnsi="Arial" w:cs="Arial"/>
          <w:sz w:val="24"/>
          <w:szCs w:val="24"/>
        </w:rPr>
      </w:pPr>
      <w:r>
        <w:rPr>
          <w:rFonts w:ascii="Arial" w:hAnsi="Arial" w:cs="Arial"/>
          <w:sz w:val="24"/>
          <w:szCs w:val="24"/>
        </w:rPr>
        <w:t>3</w:t>
      </w:r>
      <w:r w:rsidR="006E6B02">
        <w:rPr>
          <w:rFonts w:ascii="Arial" w:hAnsi="Arial" w:cs="Arial"/>
          <w:sz w:val="24"/>
          <w:szCs w:val="24"/>
        </w:rPr>
        <w:t>.4</w:t>
      </w:r>
      <w:r>
        <w:rPr>
          <w:rFonts w:ascii="Arial" w:hAnsi="Arial" w:cs="Arial"/>
          <w:sz w:val="24"/>
          <w:szCs w:val="24"/>
        </w:rPr>
        <w:t>% increase in LOLP d</w:t>
      </w:r>
      <w:r w:rsidR="00195C90">
        <w:rPr>
          <w:rFonts w:ascii="Arial" w:hAnsi="Arial" w:cs="Arial"/>
          <w:sz w:val="24"/>
          <w:szCs w:val="24"/>
        </w:rPr>
        <w:t>ue to a net load increase of 750</w:t>
      </w:r>
      <w:r>
        <w:rPr>
          <w:rFonts w:ascii="Arial" w:hAnsi="Arial" w:cs="Arial"/>
          <w:sz w:val="24"/>
          <w:szCs w:val="24"/>
        </w:rPr>
        <w:t xml:space="preserve"> MWa (see  section above “net load and resource changes” and remember that peak </w:t>
      </w:r>
      <w:r w:rsidR="001E3009">
        <w:rPr>
          <w:rFonts w:ascii="Arial" w:hAnsi="Arial" w:cs="Arial"/>
          <w:sz w:val="24"/>
          <w:szCs w:val="24"/>
        </w:rPr>
        <w:t>load</w:t>
      </w:r>
      <w:r>
        <w:rPr>
          <w:rFonts w:ascii="Arial" w:hAnsi="Arial" w:cs="Arial"/>
          <w:sz w:val="24"/>
          <w:szCs w:val="24"/>
        </w:rPr>
        <w:t xml:space="preserve"> changes are larger</w:t>
      </w:r>
      <w:r w:rsidR="001E3009">
        <w:rPr>
          <w:rFonts w:ascii="Arial" w:hAnsi="Arial" w:cs="Arial"/>
          <w:sz w:val="24"/>
          <w:szCs w:val="24"/>
        </w:rPr>
        <w:t xml:space="preserve"> than average changes</w:t>
      </w:r>
      <w:r>
        <w:rPr>
          <w:rFonts w:ascii="Arial" w:hAnsi="Arial" w:cs="Arial"/>
          <w:sz w:val="24"/>
          <w:szCs w:val="24"/>
        </w:rPr>
        <w:t xml:space="preserve">) </w:t>
      </w:r>
      <w:r w:rsidR="000978C5">
        <w:rPr>
          <w:rFonts w:ascii="Arial" w:hAnsi="Arial" w:cs="Arial"/>
          <w:sz w:val="24"/>
          <w:szCs w:val="24"/>
        </w:rPr>
        <w:t xml:space="preserve">– </w:t>
      </w:r>
      <w:r w:rsidR="000978C5" w:rsidRPr="000978C5">
        <w:rPr>
          <w:rFonts w:ascii="Arial" w:hAnsi="Arial" w:cs="Arial"/>
          <w:color w:val="FF0000"/>
          <w:sz w:val="24"/>
          <w:szCs w:val="24"/>
        </w:rPr>
        <w:t>LOLP goes from 1% to 4</w:t>
      </w:r>
      <w:r w:rsidR="006E6B02">
        <w:rPr>
          <w:rFonts w:ascii="Arial" w:hAnsi="Arial" w:cs="Arial"/>
          <w:color w:val="FF0000"/>
          <w:sz w:val="24"/>
          <w:szCs w:val="24"/>
        </w:rPr>
        <w:t>.4</w:t>
      </w:r>
      <w:r w:rsidR="000978C5" w:rsidRPr="000978C5">
        <w:rPr>
          <w:rFonts w:ascii="Arial" w:hAnsi="Arial" w:cs="Arial"/>
          <w:color w:val="FF0000"/>
          <w:sz w:val="24"/>
          <w:szCs w:val="24"/>
        </w:rPr>
        <w:t>%</w:t>
      </w:r>
    </w:p>
    <w:p w:rsidR="000978C5" w:rsidRDefault="000978C5" w:rsidP="00835B4E">
      <w:pPr>
        <w:pStyle w:val="ListParagraph"/>
        <w:numPr>
          <w:ilvl w:val="0"/>
          <w:numId w:val="16"/>
        </w:numPr>
        <w:rPr>
          <w:rFonts w:ascii="Arial" w:hAnsi="Arial" w:cs="Arial"/>
          <w:sz w:val="24"/>
          <w:szCs w:val="24"/>
        </w:rPr>
      </w:pPr>
      <w:r>
        <w:rPr>
          <w:rFonts w:ascii="Arial" w:hAnsi="Arial" w:cs="Arial"/>
          <w:sz w:val="24"/>
          <w:szCs w:val="24"/>
        </w:rPr>
        <w:t xml:space="preserve">1% increase in LOLP going from 3,200 MW to 1,700 MW of winter on-peak SW market – </w:t>
      </w:r>
      <w:r w:rsidRPr="000978C5">
        <w:rPr>
          <w:rFonts w:ascii="Arial" w:hAnsi="Arial" w:cs="Arial"/>
          <w:color w:val="FF0000"/>
          <w:sz w:val="24"/>
          <w:szCs w:val="24"/>
        </w:rPr>
        <w:t>LOLP goes from 4</w:t>
      </w:r>
      <w:r w:rsidR="006E6B02">
        <w:rPr>
          <w:rFonts w:ascii="Arial" w:hAnsi="Arial" w:cs="Arial"/>
          <w:color w:val="FF0000"/>
          <w:sz w:val="24"/>
          <w:szCs w:val="24"/>
        </w:rPr>
        <w:t>.4</w:t>
      </w:r>
      <w:r w:rsidRPr="000978C5">
        <w:rPr>
          <w:rFonts w:ascii="Arial" w:hAnsi="Arial" w:cs="Arial"/>
          <w:color w:val="FF0000"/>
          <w:sz w:val="24"/>
          <w:szCs w:val="24"/>
        </w:rPr>
        <w:t>% to 5</w:t>
      </w:r>
      <w:r w:rsidR="006E6B02">
        <w:rPr>
          <w:rFonts w:ascii="Arial" w:hAnsi="Arial" w:cs="Arial"/>
          <w:color w:val="FF0000"/>
          <w:sz w:val="24"/>
          <w:szCs w:val="24"/>
        </w:rPr>
        <w:t>.4</w:t>
      </w:r>
      <w:r w:rsidRPr="000978C5">
        <w:rPr>
          <w:rFonts w:ascii="Arial" w:hAnsi="Arial" w:cs="Arial"/>
          <w:color w:val="FF0000"/>
          <w:sz w:val="24"/>
          <w:szCs w:val="24"/>
        </w:rPr>
        <w:t>%</w:t>
      </w:r>
    </w:p>
    <w:p w:rsidR="000978C5" w:rsidRDefault="001E3009" w:rsidP="00835B4E">
      <w:pPr>
        <w:pStyle w:val="ListParagraph"/>
        <w:numPr>
          <w:ilvl w:val="0"/>
          <w:numId w:val="16"/>
        </w:numPr>
        <w:rPr>
          <w:rFonts w:ascii="Arial" w:hAnsi="Arial" w:cs="Arial"/>
          <w:sz w:val="24"/>
          <w:szCs w:val="24"/>
        </w:rPr>
      </w:pPr>
      <w:r>
        <w:rPr>
          <w:rFonts w:ascii="Arial" w:hAnsi="Arial" w:cs="Arial"/>
          <w:sz w:val="24"/>
          <w:szCs w:val="24"/>
        </w:rPr>
        <w:t>1</w:t>
      </w:r>
      <w:r w:rsidR="000978C5">
        <w:rPr>
          <w:rFonts w:ascii="Arial" w:hAnsi="Arial" w:cs="Arial"/>
          <w:sz w:val="24"/>
          <w:szCs w:val="24"/>
        </w:rPr>
        <w:t xml:space="preserve">% increase in LOLP due to using temp-correlated wind data instead of historic 2008-10 data – </w:t>
      </w:r>
      <w:r w:rsidR="000978C5" w:rsidRPr="000978C5">
        <w:rPr>
          <w:rFonts w:ascii="Arial" w:hAnsi="Arial" w:cs="Arial"/>
          <w:color w:val="FF0000"/>
          <w:sz w:val="24"/>
          <w:szCs w:val="24"/>
        </w:rPr>
        <w:t>LOLP goes from 5</w:t>
      </w:r>
      <w:r w:rsidR="006E6B02">
        <w:rPr>
          <w:rFonts w:ascii="Arial" w:hAnsi="Arial" w:cs="Arial"/>
          <w:color w:val="FF0000"/>
          <w:sz w:val="24"/>
          <w:szCs w:val="24"/>
        </w:rPr>
        <w:t>.4</w:t>
      </w:r>
      <w:r w:rsidR="000978C5" w:rsidRPr="000978C5">
        <w:rPr>
          <w:rFonts w:ascii="Arial" w:hAnsi="Arial" w:cs="Arial"/>
          <w:color w:val="FF0000"/>
          <w:sz w:val="24"/>
          <w:szCs w:val="24"/>
        </w:rPr>
        <w:t xml:space="preserve">% to </w:t>
      </w:r>
      <w:r>
        <w:rPr>
          <w:rFonts w:ascii="Arial" w:hAnsi="Arial" w:cs="Arial"/>
          <w:color w:val="FF0000"/>
          <w:sz w:val="24"/>
          <w:szCs w:val="24"/>
        </w:rPr>
        <w:t>6</w:t>
      </w:r>
      <w:r w:rsidR="006E6B02">
        <w:rPr>
          <w:rFonts w:ascii="Arial" w:hAnsi="Arial" w:cs="Arial"/>
          <w:color w:val="FF0000"/>
          <w:sz w:val="24"/>
          <w:szCs w:val="24"/>
        </w:rPr>
        <w:t>.4</w:t>
      </w:r>
      <w:r w:rsidR="000978C5" w:rsidRPr="000978C5">
        <w:rPr>
          <w:rFonts w:ascii="Arial" w:hAnsi="Arial" w:cs="Arial"/>
          <w:color w:val="FF0000"/>
          <w:sz w:val="24"/>
          <w:szCs w:val="24"/>
        </w:rPr>
        <w:t>%</w:t>
      </w:r>
    </w:p>
    <w:p w:rsidR="000978C5" w:rsidRDefault="001E3009" w:rsidP="00835B4E">
      <w:pPr>
        <w:pStyle w:val="ListParagraph"/>
        <w:numPr>
          <w:ilvl w:val="0"/>
          <w:numId w:val="16"/>
        </w:numPr>
        <w:rPr>
          <w:rFonts w:ascii="Arial" w:hAnsi="Arial" w:cs="Arial"/>
          <w:sz w:val="24"/>
          <w:szCs w:val="24"/>
        </w:rPr>
      </w:pPr>
      <w:r>
        <w:rPr>
          <w:rFonts w:ascii="Arial" w:hAnsi="Arial" w:cs="Arial"/>
          <w:sz w:val="24"/>
          <w:szCs w:val="24"/>
        </w:rPr>
        <w:t>0</w:t>
      </w:r>
      <w:r w:rsidR="000978C5">
        <w:rPr>
          <w:rFonts w:ascii="Arial" w:hAnsi="Arial" w:cs="Arial"/>
          <w:sz w:val="24"/>
          <w:szCs w:val="24"/>
        </w:rPr>
        <w:t xml:space="preserve">.5% increase in LOLP due to refined hourly hydro dispatch </w:t>
      </w:r>
      <w:r>
        <w:rPr>
          <w:rFonts w:ascii="Arial" w:hAnsi="Arial" w:cs="Arial"/>
          <w:sz w:val="24"/>
          <w:szCs w:val="24"/>
        </w:rPr>
        <w:t>that</w:t>
      </w:r>
      <w:r w:rsidR="000978C5">
        <w:rPr>
          <w:rFonts w:ascii="Arial" w:hAnsi="Arial" w:cs="Arial"/>
          <w:sz w:val="24"/>
          <w:szCs w:val="24"/>
        </w:rPr>
        <w:t xml:space="preserve"> more accurately capture</w:t>
      </w:r>
      <w:r>
        <w:rPr>
          <w:rFonts w:ascii="Arial" w:hAnsi="Arial" w:cs="Arial"/>
          <w:sz w:val="24"/>
          <w:szCs w:val="24"/>
        </w:rPr>
        <w:t>s</w:t>
      </w:r>
      <w:r w:rsidR="000978C5">
        <w:rPr>
          <w:rFonts w:ascii="Arial" w:hAnsi="Arial" w:cs="Arial"/>
          <w:sz w:val="24"/>
          <w:szCs w:val="24"/>
        </w:rPr>
        <w:t xml:space="preserve"> capacity issues – </w:t>
      </w:r>
      <w:r w:rsidR="000978C5" w:rsidRPr="000978C5">
        <w:rPr>
          <w:rFonts w:ascii="Arial" w:hAnsi="Arial" w:cs="Arial"/>
          <w:color w:val="FF0000"/>
          <w:sz w:val="24"/>
          <w:szCs w:val="24"/>
        </w:rPr>
        <w:t xml:space="preserve">LOLP goes from </w:t>
      </w:r>
      <w:r>
        <w:rPr>
          <w:rFonts w:ascii="Arial" w:hAnsi="Arial" w:cs="Arial"/>
          <w:color w:val="FF0000"/>
          <w:sz w:val="24"/>
          <w:szCs w:val="24"/>
        </w:rPr>
        <w:t>6</w:t>
      </w:r>
      <w:r w:rsidR="006E6B02">
        <w:rPr>
          <w:rFonts w:ascii="Arial" w:hAnsi="Arial" w:cs="Arial"/>
          <w:color w:val="FF0000"/>
          <w:sz w:val="24"/>
          <w:szCs w:val="24"/>
        </w:rPr>
        <w:t>.4</w:t>
      </w:r>
      <w:r w:rsidR="000978C5" w:rsidRPr="000978C5">
        <w:rPr>
          <w:rFonts w:ascii="Arial" w:hAnsi="Arial" w:cs="Arial"/>
          <w:color w:val="FF0000"/>
          <w:sz w:val="24"/>
          <w:szCs w:val="24"/>
        </w:rPr>
        <w:t>% to 6.</w:t>
      </w:r>
      <w:r w:rsidR="006E6B02">
        <w:rPr>
          <w:rFonts w:ascii="Arial" w:hAnsi="Arial" w:cs="Arial"/>
          <w:color w:val="FF0000"/>
          <w:sz w:val="24"/>
          <w:szCs w:val="24"/>
        </w:rPr>
        <w:t>9</w:t>
      </w:r>
      <w:r w:rsidR="000978C5" w:rsidRPr="000978C5">
        <w:rPr>
          <w:rFonts w:ascii="Arial" w:hAnsi="Arial" w:cs="Arial"/>
          <w:color w:val="FF0000"/>
          <w:sz w:val="24"/>
          <w:szCs w:val="24"/>
        </w:rPr>
        <w:t>%</w:t>
      </w:r>
      <w:r w:rsidR="000978C5">
        <w:rPr>
          <w:rFonts w:ascii="Arial" w:hAnsi="Arial" w:cs="Arial"/>
          <w:sz w:val="24"/>
          <w:szCs w:val="24"/>
        </w:rPr>
        <w:t xml:space="preserve"> </w:t>
      </w:r>
    </w:p>
    <w:p w:rsidR="008342CA" w:rsidRPr="008342CA" w:rsidRDefault="008342CA" w:rsidP="007145F8">
      <w:pPr>
        <w:rPr>
          <w:rFonts w:ascii="Arial" w:hAnsi="Arial" w:cs="Arial"/>
          <w:b/>
          <w:color w:val="0070C0"/>
          <w:sz w:val="28"/>
          <w:szCs w:val="28"/>
        </w:rPr>
      </w:pPr>
      <w:r w:rsidRPr="008342CA">
        <w:rPr>
          <w:rFonts w:ascii="Arial" w:hAnsi="Arial" w:cs="Arial"/>
          <w:b/>
          <w:color w:val="0070C0"/>
          <w:sz w:val="28"/>
          <w:szCs w:val="28"/>
        </w:rPr>
        <w:t>Next Steps</w:t>
      </w:r>
    </w:p>
    <w:p w:rsidR="00EC6670" w:rsidRDefault="00A674AB" w:rsidP="00EC6670">
      <w:pPr>
        <w:pStyle w:val="ListParagraph"/>
        <w:numPr>
          <w:ilvl w:val="0"/>
          <w:numId w:val="4"/>
        </w:numPr>
        <w:rPr>
          <w:rFonts w:ascii="Arial" w:hAnsi="Arial" w:cs="Arial"/>
          <w:sz w:val="24"/>
          <w:szCs w:val="24"/>
        </w:rPr>
      </w:pPr>
      <w:r>
        <w:rPr>
          <w:rFonts w:ascii="Arial" w:hAnsi="Arial" w:cs="Arial"/>
          <w:sz w:val="24"/>
          <w:szCs w:val="24"/>
        </w:rPr>
        <w:t>Send 2017 load and resource data to technical committee for review</w:t>
      </w:r>
    </w:p>
    <w:p w:rsidR="00EE1319" w:rsidRDefault="00EE1319" w:rsidP="00EC6670">
      <w:pPr>
        <w:pStyle w:val="ListParagraph"/>
        <w:numPr>
          <w:ilvl w:val="0"/>
          <w:numId w:val="4"/>
        </w:numPr>
        <w:rPr>
          <w:rFonts w:ascii="Arial" w:hAnsi="Arial" w:cs="Arial"/>
          <w:sz w:val="24"/>
          <w:szCs w:val="24"/>
        </w:rPr>
      </w:pPr>
      <w:r>
        <w:rPr>
          <w:rFonts w:ascii="Arial" w:hAnsi="Arial" w:cs="Arial"/>
          <w:sz w:val="24"/>
          <w:szCs w:val="24"/>
        </w:rPr>
        <w:t>Explain how conservation is incorporated into the load and at what level</w:t>
      </w:r>
    </w:p>
    <w:p w:rsidR="00EE1319" w:rsidRDefault="00A674AB" w:rsidP="00EC6670">
      <w:pPr>
        <w:pStyle w:val="ListParagraph"/>
        <w:numPr>
          <w:ilvl w:val="0"/>
          <w:numId w:val="4"/>
        </w:numPr>
        <w:rPr>
          <w:rFonts w:ascii="Arial" w:hAnsi="Arial" w:cs="Arial"/>
          <w:sz w:val="24"/>
          <w:szCs w:val="24"/>
        </w:rPr>
      </w:pPr>
      <w:r>
        <w:rPr>
          <w:rFonts w:ascii="Arial" w:hAnsi="Arial" w:cs="Arial"/>
          <w:sz w:val="24"/>
          <w:szCs w:val="24"/>
        </w:rPr>
        <w:t xml:space="preserve">Obtain California Energy Commission assessment of loads and resources for 2017 to update the </w:t>
      </w:r>
      <w:r w:rsidR="00EE1319">
        <w:rPr>
          <w:rFonts w:ascii="Arial" w:hAnsi="Arial" w:cs="Arial"/>
          <w:sz w:val="24"/>
          <w:szCs w:val="24"/>
        </w:rPr>
        <w:t xml:space="preserve">SW </w:t>
      </w:r>
      <w:r>
        <w:rPr>
          <w:rFonts w:ascii="Arial" w:hAnsi="Arial" w:cs="Arial"/>
          <w:sz w:val="24"/>
          <w:szCs w:val="24"/>
        </w:rPr>
        <w:t xml:space="preserve">on-peak and off-peak </w:t>
      </w:r>
      <w:r w:rsidR="00EE1319">
        <w:rPr>
          <w:rFonts w:ascii="Arial" w:hAnsi="Arial" w:cs="Arial"/>
          <w:sz w:val="24"/>
          <w:szCs w:val="24"/>
        </w:rPr>
        <w:t xml:space="preserve">market </w:t>
      </w:r>
      <w:r w:rsidR="00410782">
        <w:rPr>
          <w:rFonts w:ascii="Arial" w:hAnsi="Arial" w:cs="Arial"/>
          <w:sz w:val="24"/>
          <w:szCs w:val="24"/>
        </w:rPr>
        <w:t>availability</w:t>
      </w:r>
    </w:p>
    <w:p w:rsidR="00A674AB" w:rsidRDefault="00A674AB" w:rsidP="00EC6670">
      <w:pPr>
        <w:pStyle w:val="ListParagraph"/>
        <w:numPr>
          <w:ilvl w:val="0"/>
          <w:numId w:val="4"/>
        </w:numPr>
        <w:rPr>
          <w:rFonts w:ascii="Arial" w:hAnsi="Arial" w:cs="Arial"/>
          <w:sz w:val="24"/>
          <w:szCs w:val="24"/>
        </w:rPr>
      </w:pPr>
      <w:r>
        <w:rPr>
          <w:rFonts w:ascii="Arial" w:hAnsi="Arial" w:cs="Arial"/>
          <w:sz w:val="24"/>
          <w:szCs w:val="24"/>
        </w:rPr>
        <w:t>Review south-to-north intertie capacities (monthly) to ensure that SW market is not being limited by underestimated transfer capabilities</w:t>
      </w:r>
    </w:p>
    <w:p w:rsidR="00410782" w:rsidRDefault="00410782" w:rsidP="00EC6670">
      <w:pPr>
        <w:pStyle w:val="ListParagraph"/>
        <w:numPr>
          <w:ilvl w:val="0"/>
          <w:numId w:val="4"/>
        </w:numPr>
        <w:rPr>
          <w:rFonts w:ascii="Arial" w:hAnsi="Arial" w:cs="Arial"/>
          <w:sz w:val="24"/>
          <w:szCs w:val="24"/>
        </w:rPr>
      </w:pPr>
      <w:r>
        <w:rPr>
          <w:rFonts w:ascii="Arial" w:hAnsi="Arial" w:cs="Arial"/>
          <w:sz w:val="24"/>
          <w:szCs w:val="24"/>
        </w:rPr>
        <w:t>Review curtailment records for potential false positives</w:t>
      </w:r>
      <w:r w:rsidR="00A674AB">
        <w:rPr>
          <w:rFonts w:ascii="Arial" w:hAnsi="Arial" w:cs="Arial"/>
          <w:sz w:val="24"/>
          <w:szCs w:val="24"/>
        </w:rPr>
        <w:t xml:space="preserve"> – eliminate false curtailments caused by the hydro shaping logic </w:t>
      </w:r>
    </w:p>
    <w:p w:rsidR="008B3E4A" w:rsidRPr="008218B1" w:rsidRDefault="008218B1" w:rsidP="008B3E4A">
      <w:pPr>
        <w:rPr>
          <w:rFonts w:ascii="Arial" w:hAnsi="Arial" w:cs="Arial"/>
          <w:b/>
          <w:color w:val="0070C0"/>
          <w:sz w:val="28"/>
          <w:szCs w:val="28"/>
        </w:rPr>
      </w:pPr>
      <w:r w:rsidRPr="008218B1">
        <w:rPr>
          <w:rFonts w:ascii="Arial" w:hAnsi="Arial" w:cs="Arial"/>
          <w:b/>
          <w:color w:val="0070C0"/>
          <w:sz w:val="28"/>
          <w:szCs w:val="28"/>
        </w:rPr>
        <w:t>What is the message and what should we be doing?</w:t>
      </w:r>
    </w:p>
    <w:p w:rsidR="008218B1" w:rsidRDefault="008218B1" w:rsidP="008218B1">
      <w:pPr>
        <w:pStyle w:val="ListParagraph"/>
        <w:numPr>
          <w:ilvl w:val="0"/>
          <w:numId w:val="17"/>
        </w:numPr>
        <w:rPr>
          <w:rFonts w:ascii="Arial" w:hAnsi="Arial" w:cs="Arial"/>
          <w:sz w:val="24"/>
          <w:szCs w:val="24"/>
        </w:rPr>
      </w:pPr>
      <w:r w:rsidRPr="00BA64A2">
        <w:rPr>
          <w:rFonts w:ascii="Arial" w:hAnsi="Arial" w:cs="Arial"/>
          <w:color w:val="FF0000"/>
          <w:sz w:val="24"/>
          <w:szCs w:val="24"/>
        </w:rPr>
        <w:t>Caveat</w:t>
      </w:r>
      <w:r>
        <w:rPr>
          <w:rFonts w:ascii="Arial" w:hAnsi="Arial" w:cs="Arial"/>
          <w:sz w:val="24"/>
          <w:szCs w:val="24"/>
        </w:rPr>
        <w:t xml:space="preserve">: Forum’s methodology is just one </w:t>
      </w:r>
      <w:r w:rsidR="00BA64A2">
        <w:rPr>
          <w:rFonts w:ascii="Arial" w:hAnsi="Arial" w:cs="Arial"/>
          <w:sz w:val="24"/>
          <w:szCs w:val="24"/>
        </w:rPr>
        <w:t xml:space="preserve">of many </w:t>
      </w:r>
      <w:r>
        <w:rPr>
          <w:rFonts w:ascii="Arial" w:hAnsi="Arial" w:cs="Arial"/>
          <w:sz w:val="24"/>
          <w:szCs w:val="24"/>
        </w:rPr>
        <w:t>tool</w:t>
      </w:r>
      <w:r w:rsidR="00BA64A2">
        <w:rPr>
          <w:rFonts w:ascii="Arial" w:hAnsi="Arial" w:cs="Arial"/>
          <w:sz w:val="24"/>
          <w:szCs w:val="24"/>
        </w:rPr>
        <w:t>s used</w:t>
      </w:r>
      <w:r>
        <w:rPr>
          <w:rFonts w:ascii="Arial" w:hAnsi="Arial" w:cs="Arial"/>
          <w:sz w:val="24"/>
          <w:szCs w:val="24"/>
        </w:rPr>
        <w:t xml:space="preserve"> to assess the adequacy of the power supply.  It has strengths and weaknesses. We </w:t>
      </w:r>
      <w:r w:rsidR="00BA64A2">
        <w:rPr>
          <w:rFonts w:ascii="Arial" w:hAnsi="Arial" w:cs="Arial"/>
          <w:sz w:val="24"/>
          <w:szCs w:val="24"/>
        </w:rPr>
        <w:t xml:space="preserve">are </w:t>
      </w:r>
      <w:r>
        <w:rPr>
          <w:rFonts w:ascii="Arial" w:hAnsi="Arial" w:cs="Arial"/>
          <w:sz w:val="24"/>
          <w:szCs w:val="24"/>
        </w:rPr>
        <w:t>continu</w:t>
      </w:r>
      <w:r w:rsidR="00BA64A2">
        <w:rPr>
          <w:rFonts w:ascii="Arial" w:hAnsi="Arial" w:cs="Arial"/>
          <w:sz w:val="24"/>
          <w:szCs w:val="24"/>
        </w:rPr>
        <w:t>ing</w:t>
      </w:r>
      <w:r>
        <w:rPr>
          <w:rFonts w:ascii="Arial" w:hAnsi="Arial" w:cs="Arial"/>
          <w:sz w:val="24"/>
          <w:szCs w:val="24"/>
        </w:rPr>
        <w:t xml:space="preserve"> to make improvements to the modeling. </w:t>
      </w:r>
    </w:p>
    <w:p w:rsidR="008218B1" w:rsidRDefault="008218B1" w:rsidP="008218B1">
      <w:pPr>
        <w:pStyle w:val="ListParagraph"/>
        <w:numPr>
          <w:ilvl w:val="0"/>
          <w:numId w:val="17"/>
        </w:numPr>
        <w:rPr>
          <w:rFonts w:ascii="Arial" w:hAnsi="Arial" w:cs="Arial"/>
          <w:sz w:val="24"/>
          <w:szCs w:val="24"/>
        </w:rPr>
      </w:pPr>
      <w:r>
        <w:rPr>
          <w:rFonts w:ascii="Arial" w:hAnsi="Arial" w:cs="Arial"/>
          <w:sz w:val="24"/>
          <w:szCs w:val="24"/>
        </w:rPr>
        <w:t xml:space="preserve">A single LOLP value </w:t>
      </w:r>
      <w:r w:rsidR="00F55C52">
        <w:rPr>
          <w:rFonts w:ascii="Arial" w:hAnsi="Arial" w:cs="Arial"/>
          <w:sz w:val="24"/>
          <w:szCs w:val="24"/>
        </w:rPr>
        <w:t>can be misleading</w:t>
      </w:r>
      <w:r>
        <w:rPr>
          <w:rFonts w:ascii="Arial" w:hAnsi="Arial" w:cs="Arial"/>
          <w:sz w:val="24"/>
          <w:szCs w:val="24"/>
        </w:rPr>
        <w:t xml:space="preserve"> because of the uncertainties not modeled in GENESYS. But the range of potential values gives us a good sense of how adequate the power supply is.</w:t>
      </w:r>
    </w:p>
    <w:p w:rsidR="008218B1" w:rsidRDefault="008218B1" w:rsidP="008218B1">
      <w:pPr>
        <w:pStyle w:val="ListParagraph"/>
        <w:numPr>
          <w:ilvl w:val="0"/>
          <w:numId w:val="17"/>
        </w:numPr>
        <w:rPr>
          <w:rFonts w:ascii="Arial" w:hAnsi="Arial" w:cs="Arial"/>
          <w:sz w:val="24"/>
          <w:szCs w:val="24"/>
        </w:rPr>
      </w:pPr>
      <w:r>
        <w:rPr>
          <w:rFonts w:ascii="Arial" w:hAnsi="Arial" w:cs="Arial"/>
          <w:sz w:val="24"/>
          <w:szCs w:val="24"/>
        </w:rPr>
        <w:t xml:space="preserve">We are still scrubbing the data but it appears that there is at least some likelihood that the 2017 LOLP will be greater than 5%.  </w:t>
      </w:r>
    </w:p>
    <w:p w:rsidR="008218B1" w:rsidRDefault="008218B1" w:rsidP="008218B1">
      <w:pPr>
        <w:pStyle w:val="ListParagraph"/>
        <w:numPr>
          <w:ilvl w:val="0"/>
          <w:numId w:val="17"/>
        </w:numPr>
        <w:rPr>
          <w:rFonts w:ascii="Arial" w:hAnsi="Arial" w:cs="Arial"/>
          <w:sz w:val="24"/>
          <w:szCs w:val="24"/>
        </w:rPr>
      </w:pPr>
      <w:r>
        <w:rPr>
          <w:rFonts w:ascii="Arial" w:hAnsi="Arial" w:cs="Arial"/>
          <w:sz w:val="24"/>
          <w:szCs w:val="24"/>
        </w:rPr>
        <w:t>This does not mean that the “sky is falling” or that we will have a recurrence of the energy crisis of 2001.</w:t>
      </w:r>
    </w:p>
    <w:p w:rsidR="006C6F60" w:rsidRDefault="008218B1" w:rsidP="006C6F60">
      <w:pPr>
        <w:pStyle w:val="ListParagraph"/>
        <w:numPr>
          <w:ilvl w:val="0"/>
          <w:numId w:val="17"/>
        </w:numPr>
        <w:rPr>
          <w:rFonts w:ascii="Arial" w:hAnsi="Arial" w:cs="Arial"/>
          <w:sz w:val="24"/>
          <w:szCs w:val="24"/>
        </w:rPr>
      </w:pPr>
      <w:r>
        <w:rPr>
          <w:rFonts w:ascii="Arial" w:hAnsi="Arial" w:cs="Arial"/>
          <w:sz w:val="24"/>
          <w:szCs w:val="24"/>
        </w:rPr>
        <w:lastRenderedPageBreak/>
        <w:t>If the LOLP ends up greater than 5%, it simply means that relying only on existing resources and 6</w:t>
      </w:r>
      <w:r w:rsidRPr="008218B1">
        <w:rPr>
          <w:rFonts w:ascii="Arial" w:hAnsi="Arial" w:cs="Arial"/>
          <w:sz w:val="24"/>
          <w:szCs w:val="24"/>
          <w:vertAlign w:val="superscript"/>
        </w:rPr>
        <w:t>th</w:t>
      </w:r>
      <w:r>
        <w:rPr>
          <w:rFonts w:ascii="Arial" w:hAnsi="Arial" w:cs="Arial"/>
          <w:sz w:val="24"/>
          <w:szCs w:val="24"/>
        </w:rPr>
        <w:t xml:space="preserve"> plan conservation will lead us to a power supply whose likelihood of curtailment is above our self-defined tolerance level.  </w:t>
      </w:r>
    </w:p>
    <w:p w:rsidR="00D85CEF" w:rsidRPr="006C6F60" w:rsidRDefault="008218B1" w:rsidP="006C6F60">
      <w:pPr>
        <w:pStyle w:val="ListParagraph"/>
        <w:numPr>
          <w:ilvl w:val="0"/>
          <w:numId w:val="17"/>
        </w:numPr>
        <w:rPr>
          <w:rFonts w:ascii="Arial" w:hAnsi="Arial" w:cs="Arial"/>
          <w:sz w:val="24"/>
          <w:szCs w:val="24"/>
        </w:rPr>
      </w:pPr>
      <w:r w:rsidRPr="006C6F60">
        <w:rPr>
          <w:rFonts w:ascii="Arial" w:hAnsi="Arial" w:cs="Arial"/>
          <w:sz w:val="24"/>
          <w:szCs w:val="24"/>
        </w:rPr>
        <w:t xml:space="preserve">It is then up to the Council and utilities to determine the most cost effective and appropriate means to “fill the gap.” That might include generating resources, demand response or perhaps even more conservation. But that is a separate </w:t>
      </w:r>
      <w:r w:rsidRPr="006C6F60">
        <w:rPr>
          <w:rFonts w:ascii="Times New Roman" w:hAnsi="Times New Roman" w:cs="Times New Roman"/>
          <w:sz w:val="24"/>
          <w:szCs w:val="24"/>
        </w:rPr>
        <w:t xml:space="preserve">process from an adequacy assessment.      </w:t>
      </w:r>
    </w:p>
    <w:p w:rsidR="00D94476" w:rsidRPr="00D94476" w:rsidRDefault="00D94476" w:rsidP="00D94476">
      <w:pPr>
        <w:spacing w:after="0" w:line="240" w:lineRule="auto"/>
        <w:rPr>
          <w:rFonts w:ascii="Times New Roman" w:hAnsi="Times New Roman" w:cs="Times New Roman"/>
          <w:sz w:val="12"/>
          <w:szCs w:val="24"/>
        </w:rPr>
      </w:pPr>
      <w:bookmarkStart w:id="1" w:name="Tagg"/>
    </w:p>
    <w:p w:rsidR="00D94476" w:rsidRPr="00D94476" w:rsidRDefault="00D94476" w:rsidP="00D94476">
      <w:pPr>
        <w:spacing w:after="0" w:line="240" w:lineRule="auto"/>
        <w:rPr>
          <w:rFonts w:ascii="Times New Roman" w:hAnsi="Times New Roman" w:cs="Times New Roman"/>
          <w:sz w:val="12"/>
          <w:szCs w:val="24"/>
        </w:rPr>
      </w:pPr>
      <w:r w:rsidRPr="00D94476">
        <w:rPr>
          <w:rFonts w:ascii="Times New Roman" w:hAnsi="Times New Roman" w:cs="Times New Roman"/>
          <w:sz w:val="12"/>
          <w:szCs w:val="24"/>
        </w:rPr>
        <w:t>________________________________________</w:t>
      </w:r>
    </w:p>
    <w:p w:rsidR="00DA28E6" w:rsidRPr="00D94476" w:rsidRDefault="00D94476" w:rsidP="00D94476">
      <w:pPr>
        <w:spacing w:after="0" w:line="240" w:lineRule="auto"/>
        <w:rPr>
          <w:rFonts w:ascii="Times New Roman" w:hAnsi="Times New Roman" w:cs="Times New Roman"/>
          <w:sz w:val="12"/>
          <w:szCs w:val="24"/>
        </w:rPr>
      </w:pPr>
      <w:r w:rsidRPr="00D94476">
        <w:rPr>
          <w:rFonts w:ascii="Times New Roman" w:hAnsi="Times New Roman" w:cs="Times New Roman"/>
          <w:sz w:val="12"/>
          <w:szCs w:val="24"/>
        </w:rPr>
        <w:t>q:\jf\ra forum\2012\83012 steering adequacy.docx</w:t>
      </w:r>
      <w:bookmarkEnd w:id="1"/>
    </w:p>
    <w:sectPr w:rsidR="00DA28E6" w:rsidRPr="00D94476" w:rsidSect="0062731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E4A" w:rsidRDefault="008B3E4A" w:rsidP="004358FF">
      <w:pPr>
        <w:spacing w:after="0" w:line="240" w:lineRule="auto"/>
      </w:pPr>
      <w:r>
        <w:separator/>
      </w:r>
    </w:p>
  </w:endnote>
  <w:endnote w:type="continuationSeparator" w:id="0">
    <w:p w:rsidR="008B3E4A" w:rsidRDefault="008B3E4A" w:rsidP="004358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4996"/>
      <w:docPartObj>
        <w:docPartGallery w:val="Page Numbers (Bottom of Page)"/>
        <w:docPartUnique/>
      </w:docPartObj>
    </w:sdtPr>
    <w:sdtContent>
      <w:p w:rsidR="008B3E4A" w:rsidRDefault="00C7495E">
        <w:pPr>
          <w:pStyle w:val="Footer"/>
          <w:jc w:val="right"/>
        </w:pPr>
        <w:fldSimple w:instr=" PAGE   \* MERGEFORMAT ">
          <w:r w:rsidR="00D94476">
            <w:rPr>
              <w:noProof/>
            </w:rPr>
            <w:t>4</w:t>
          </w:r>
        </w:fldSimple>
      </w:p>
    </w:sdtContent>
  </w:sdt>
  <w:p w:rsidR="008B3E4A" w:rsidRDefault="008B3E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E4A" w:rsidRDefault="008B3E4A" w:rsidP="004358FF">
      <w:pPr>
        <w:spacing w:after="0" w:line="240" w:lineRule="auto"/>
      </w:pPr>
      <w:r>
        <w:separator/>
      </w:r>
    </w:p>
  </w:footnote>
  <w:footnote w:type="continuationSeparator" w:id="0">
    <w:p w:rsidR="008B3E4A" w:rsidRDefault="008B3E4A" w:rsidP="004358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959" w:rsidRDefault="001E13B6">
    <w:pPr>
      <w:pStyle w:val="Header"/>
    </w:pPr>
    <w:r>
      <w:t>DRAFT August 30</w:t>
    </w:r>
    <w:r w:rsidR="00191959">
      <w:t>, 2012</w:t>
    </w:r>
  </w:p>
  <w:p w:rsidR="00191959" w:rsidRDefault="001919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17FE6"/>
    <w:multiLevelType w:val="hybridMultilevel"/>
    <w:tmpl w:val="D8F6D47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0520FF"/>
    <w:multiLevelType w:val="hybridMultilevel"/>
    <w:tmpl w:val="3A10C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F267A"/>
    <w:multiLevelType w:val="hybridMultilevel"/>
    <w:tmpl w:val="B3DCA6EC"/>
    <w:lvl w:ilvl="0" w:tplc="0409000F">
      <w:start w:val="1"/>
      <w:numFmt w:val="decimal"/>
      <w:lvlText w:val="%1."/>
      <w:lvlJc w:val="left"/>
      <w:pPr>
        <w:ind w:left="3589" w:hanging="360"/>
      </w:pPr>
    </w:lvl>
    <w:lvl w:ilvl="1" w:tplc="04090019" w:tentative="1">
      <w:start w:val="1"/>
      <w:numFmt w:val="lowerLetter"/>
      <w:lvlText w:val="%2."/>
      <w:lvlJc w:val="left"/>
      <w:pPr>
        <w:ind w:left="4309" w:hanging="360"/>
      </w:pPr>
    </w:lvl>
    <w:lvl w:ilvl="2" w:tplc="0409001B" w:tentative="1">
      <w:start w:val="1"/>
      <w:numFmt w:val="lowerRoman"/>
      <w:lvlText w:val="%3."/>
      <w:lvlJc w:val="right"/>
      <w:pPr>
        <w:ind w:left="5029" w:hanging="180"/>
      </w:pPr>
    </w:lvl>
    <w:lvl w:ilvl="3" w:tplc="0409000F" w:tentative="1">
      <w:start w:val="1"/>
      <w:numFmt w:val="decimal"/>
      <w:lvlText w:val="%4."/>
      <w:lvlJc w:val="left"/>
      <w:pPr>
        <w:ind w:left="5749" w:hanging="360"/>
      </w:pPr>
    </w:lvl>
    <w:lvl w:ilvl="4" w:tplc="04090019" w:tentative="1">
      <w:start w:val="1"/>
      <w:numFmt w:val="lowerLetter"/>
      <w:lvlText w:val="%5."/>
      <w:lvlJc w:val="left"/>
      <w:pPr>
        <w:ind w:left="6469" w:hanging="360"/>
      </w:pPr>
    </w:lvl>
    <w:lvl w:ilvl="5" w:tplc="0409001B" w:tentative="1">
      <w:start w:val="1"/>
      <w:numFmt w:val="lowerRoman"/>
      <w:lvlText w:val="%6."/>
      <w:lvlJc w:val="right"/>
      <w:pPr>
        <w:ind w:left="7189" w:hanging="180"/>
      </w:pPr>
    </w:lvl>
    <w:lvl w:ilvl="6" w:tplc="0409000F" w:tentative="1">
      <w:start w:val="1"/>
      <w:numFmt w:val="decimal"/>
      <w:lvlText w:val="%7."/>
      <w:lvlJc w:val="left"/>
      <w:pPr>
        <w:ind w:left="7909" w:hanging="360"/>
      </w:pPr>
    </w:lvl>
    <w:lvl w:ilvl="7" w:tplc="04090019" w:tentative="1">
      <w:start w:val="1"/>
      <w:numFmt w:val="lowerLetter"/>
      <w:lvlText w:val="%8."/>
      <w:lvlJc w:val="left"/>
      <w:pPr>
        <w:ind w:left="8629" w:hanging="360"/>
      </w:pPr>
    </w:lvl>
    <w:lvl w:ilvl="8" w:tplc="0409001B" w:tentative="1">
      <w:start w:val="1"/>
      <w:numFmt w:val="lowerRoman"/>
      <w:lvlText w:val="%9."/>
      <w:lvlJc w:val="right"/>
      <w:pPr>
        <w:ind w:left="9349" w:hanging="180"/>
      </w:pPr>
    </w:lvl>
  </w:abstractNum>
  <w:abstractNum w:abstractNumId="3">
    <w:nsid w:val="09D55865"/>
    <w:multiLevelType w:val="hybridMultilevel"/>
    <w:tmpl w:val="5944F72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B5C41CF"/>
    <w:multiLevelType w:val="hybridMultilevel"/>
    <w:tmpl w:val="4F8ADEFE"/>
    <w:lvl w:ilvl="0" w:tplc="04090001">
      <w:start w:val="1"/>
      <w:numFmt w:val="bullet"/>
      <w:lvlText w:val=""/>
      <w:lvlJc w:val="left"/>
      <w:pPr>
        <w:ind w:left="3589" w:hanging="360"/>
      </w:pPr>
      <w:rPr>
        <w:rFonts w:ascii="Symbol" w:hAnsi="Symbol" w:hint="default"/>
      </w:rPr>
    </w:lvl>
    <w:lvl w:ilvl="1" w:tplc="04090003" w:tentative="1">
      <w:start w:val="1"/>
      <w:numFmt w:val="bullet"/>
      <w:lvlText w:val="o"/>
      <w:lvlJc w:val="left"/>
      <w:pPr>
        <w:ind w:left="4309" w:hanging="360"/>
      </w:pPr>
      <w:rPr>
        <w:rFonts w:ascii="Courier New" w:hAnsi="Courier New" w:cs="Courier New" w:hint="default"/>
      </w:rPr>
    </w:lvl>
    <w:lvl w:ilvl="2" w:tplc="04090005" w:tentative="1">
      <w:start w:val="1"/>
      <w:numFmt w:val="bullet"/>
      <w:lvlText w:val=""/>
      <w:lvlJc w:val="left"/>
      <w:pPr>
        <w:ind w:left="5029" w:hanging="360"/>
      </w:pPr>
      <w:rPr>
        <w:rFonts w:ascii="Wingdings" w:hAnsi="Wingdings" w:hint="default"/>
      </w:rPr>
    </w:lvl>
    <w:lvl w:ilvl="3" w:tplc="04090001" w:tentative="1">
      <w:start w:val="1"/>
      <w:numFmt w:val="bullet"/>
      <w:lvlText w:val=""/>
      <w:lvlJc w:val="left"/>
      <w:pPr>
        <w:ind w:left="5749" w:hanging="360"/>
      </w:pPr>
      <w:rPr>
        <w:rFonts w:ascii="Symbol" w:hAnsi="Symbol" w:hint="default"/>
      </w:rPr>
    </w:lvl>
    <w:lvl w:ilvl="4" w:tplc="04090003" w:tentative="1">
      <w:start w:val="1"/>
      <w:numFmt w:val="bullet"/>
      <w:lvlText w:val="o"/>
      <w:lvlJc w:val="left"/>
      <w:pPr>
        <w:ind w:left="6469" w:hanging="360"/>
      </w:pPr>
      <w:rPr>
        <w:rFonts w:ascii="Courier New" w:hAnsi="Courier New" w:cs="Courier New" w:hint="default"/>
      </w:rPr>
    </w:lvl>
    <w:lvl w:ilvl="5" w:tplc="04090005" w:tentative="1">
      <w:start w:val="1"/>
      <w:numFmt w:val="bullet"/>
      <w:lvlText w:val=""/>
      <w:lvlJc w:val="left"/>
      <w:pPr>
        <w:ind w:left="7189" w:hanging="360"/>
      </w:pPr>
      <w:rPr>
        <w:rFonts w:ascii="Wingdings" w:hAnsi="Wingdings" w:hint="default"/>
      </w:rPr>
    </w:lvl>
    <w:lvl w:ilvl="6" w:tplc="04090001" w:tentative="1">
      <w:start w:val="1"/>
      <w:numFmt w:val="bullet"/>
      <w:lvlText w:val=""/>
      <w:lvlJc w:val="left"/>
      <w:pPr>
        <w:ind w:left="7909" w:hanging="360"/>
      </w:pPr>
      <w:rPr>
        <w:rFonts w:ascii="Symbol" w:hAnsi="Symbol" w:hint="default"/>
      </w:rPr>
    </w:lvl>
    <w:lvl w:ilvl="7" w:tplc="04090003" w:tentative="1">
      <w:start w:val="1"/>
      <w:numFmt w:val="bullet"/>
      <w:lvlText w:val="o"/>
      <w:lvlJc w:val="left"/>
      <w:pPr>
        <w:ind w:left="8629" w:hanging="360"/>
      </w:pPr>
      <w:rPr>
        <w:rFonts w:ascii="Courier New" w:hAnsi="Courier New" w:cs="Courier New" w:hint="default"/>
      </w:rPr>
    </w:lvl>
    <w:lvl w:ilvl="8" w:tplc="04090005" w:tentative="1">
      <w:start w:val="1"/>
      <w:numFmt w:val="bullet"/>
      <w:lvlText w:val=""/>
      <w:lvlJc w:val="left"/>
      <w:pPr>
        <w:ind w:left="9349" w:hanging="360"/>
      </w:pPr>
      <w:rPr>
        <w:rFonts w:ascii="Wingdings" w:hAnsi="Wingdings" w:hint="default"/>
      </w:rPr>
    </w:lvl>
  </w:abstractNum>
  <w:abstractNum w:abstractNumId="5">
    <w:nsid w:val="1DA7405E"/>
    <w:multiLevelType w:val="hybridMultilevel"/>
    <w:tmpl w:val="4EFC8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A01CD2"/>
    <w:multiLevelType w:val="hybridMultilevel"/>
    <w:tmpl w:val="B6845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6520EC"/>
    <w:multiLevelType w:val="hybridMultilevel"/>
    <w:tmpl w:val="64103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E1147C"/>
    <w:multiLevelType w:val="hybridMultilevel"/>
    <w:tmpl w:val="17CC3DF8"/>
    <w:lvl w:ilvl="0" w:tplc="04090001">
      <w:start w:val="1"/>
      <w:numFmt w:val="bullet"/>
      <w:lvlText w:val=""/>
      <w:lvlJc w:val="left"/>
      <w:pPr>
        <w:ind w:left="3589" w:hanging="360"/>
      </w:pPr>
      <w:rPr>
        <w:rFonts w:ascii="Symbol" w:hAnsi="Symbol" w:hint="default"/>
      </w:rPr>
    </w:lvl>
    <w:lvl w:ilvl="1" w:tplc="04090003" w:tentative="1">
      <w:start w:val="1"/>
      <w:numFmt w:val="bullet"/>
      <w:lvlText w:val="o"/>
      <w:lvlJc w:val="left"/>
      <w:pPr>
        <w:ind w:left="4309" w:hanging="360"/>
      </w:pPr>
      <w:rPr>
        <w:rFonts w:ascii="Courier New" w:hAnsi="Courier New" w:cs="Courier New" w:hint="default"/>
      </w:rPr>
    </w:lvl>
    <w:lvl w:ilvl="2" w:tplc="04090005" w:tentative="1">
      <w:start w:val="1"/>
      <w:numFmt w:val="bullet"/>
      <w:lvlText w:val=""/>
      <w:lvlJc w:val="left"/>
      <w:pPr>
        <w:ind w:left="5029" w:hanging="360"/>
      </w:pPr>
      <w:rPr>
        <w:rFonts w:ascii="Wingdings" w:hAnsi="Wingdings" w:hint="default"/>
      </w:rPr>
    </w:lvl>
    <w:lvl w:ilvl="3" w:tplc="04090001" w:tentative="1">
      <w:start w:val="1"/>
      <w:numFmt w:val="bullet"/>
      <w:lvlText w:val=""/>
      <w:lvlJc w:val="left"/>
      <w:pPr>
        <w:ind w:left="5749" w:hanging="360"/>
      </w:pPr>
      <w:rPr>
        <w:rFonts w:ascii="Symbol" w:hAnsi="Symbol" w:hint="default"/>
      </w:rPr>
    </w:lvl>
    <w:lvl w:ilvl="4" w:tplc="04090003" w:tentative="1">
      <w:start w:val="1"/>
      <w:numFmt w:val="bullet"/>
      <w:lvlText w:val="o"/>
      <w:lvlJc w:val="left"/>
      <w:pPr>
        <w:ind w:left="6469" w:hanging="360"/>
      </w:pPr>
      <w:rPr>
        <w:rFonts w:ascii="Courier New" w:hAnsi="Courier New" w:cs="Courier New" w:hint="default"/>
      </w:rPr>
    </w:lvl>
    <w:lvl w:ilvl="5" w:tplc="04090005" w:tentative="1">
      <w:start w:val="1"/>
      <w:numFmt w:val="bullet"/>
      <w:lvlText w:val=""/>
      <w:lvlJc w:val="left"/>
      <w:pPr>
        <w:ind w:left="7189" w:hanging="360"/>
      </w:pPr>
      <w:rPr>
        <w:rFonts w:ascii="Wingdings" w:hAnsi="Wingdings" w:hint="default"/>
      </w:rPr>
    </w:lvl>
    <w:lvl w:ilvl="6" w:tplc="04090001" w:tentative="1">
      <w:start w:val="1"/>
      <w:numFmt w:val="bullet"/>
      <w:lvlText w:val=""/>
      <w:lvlJc w:val="left"/>
      <w:pPr>
        <w:ind w:left="7909" w:hanging="360"/>
      </w:pPr>
      <w:rPr>
        <w:rFonts w:ascii="Symbol" w:hAnsi="Symbol" w:hint="default"/>
      </w:rPr>
    </w:lvl>
    <w:lvl w:ilvl="7" w:tplc="04090003" w:tentative="1">
      <w:start w:val="1"/>
      <w:numFmt w:val="bullet"/>
      <w:lvlText w:val="o"/>
      <w:lvlJc w:val="left"/>
      <w:pPr>
        <w:ind w:left="8629" w:hanging="360"/>
      </w:pPr>
      <w:rPr>
        <w:rFonts w:ascii="Courier New" w:hAnsi="Courier New" w:cs="Courier New" w:hint="default"/>
      </w:rPr>
    </w:lvl>
    <w:lvl w:ilvl="8" w:tplc="04090005" w:tentative="1">
      <w:start w:val="1"/>
      <w:numFmt w:val="bullet"/>
      <w:lvlText w:val=""/>
      <w:lvlJc w:val="left"/>
      <w:pPr>
        <w:ind w:left="9349" w:hanging="360"/>
      </w:pPr>
      <w:rPr>
        <w:rFonts w:ascii="Wingdings" w:hAnsi="Wingdings" w:hint="default"/>
      </w:rPr>
    </w:lvl>
  </w:abstractNum>
  <w:abstractNum w:abstractNumId="9">
    <w:nsid w:val="4D2F4488"/>
    <w:multiLevelType w:val="hybridMultilevel"/>
    <w:tmpl w:val="9B847FF2"/>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0">
    <w:nsid w:val="4FA706E8"/>
    <w:multiLevelType w:val="hybridMultilevel"/>
    <w:tmpl w:val="225EB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F728F5"/>
    <w:multiLevelType w:val="hybridMultilevel"/>
    <w:tmpl w:val="EF4A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010EDE"/>
    <w:multiLevelType w:val="hybridMultilevel"/>
    <w:tmpl w:val="3CE2333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3">
    <w:nsid w:val="621C1CF3"/>
    <w:multiLevelType w:val="hybridMultilevel"/>
    <w:tmpl w:val="E63AF4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4DD3B03"/>
    <w:multiLevelType w:val="hybridMultilevel"/>
    <w:tmpl w:val="5100DA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75790640"/>
    <w:multiLevelType w:val="hybridMultilevel"/>
    <w:tmpl w:val="E496E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3"/>
  </w:num>
  <w:num w:numId="3">
    <w:abstractNumId w:val="1"/>
  </w:num>
  <w:num w:numId="4">
    <w:abstractNumId w:val="6"/>
  </w:num>
  <w:num w:numId="5">
    <w:abstractNumId w:val="7"/>
  </w:num>
  <w:num w:numId="6">
    <w:abstractNumId w:val="14"/>
  </w:num>
  <w:num w:numId="7">
    <w:abstractNumId w:val="10"/>
  </w:num>
  <w:num w:numId="8">
    <w:abstractNumId w:val="13"/>
  </w:num>
  <w:num w:numId="9">
    <w:abstractNumId w:val="0"/>
  </w:num>
  <w:num w:numId="10">
    <w:abstractNumId w:val="15"/>
  </w:num>
  <w:num w:numId="11">
    <w:abstractNumId w:val="12"/>
  </w:num>
  <w:num w:numId="12">
    <w:abstractNumId w:val="9"/>
  </w:num>
  <w:num w:numId="13">
    <w:abstractNumId w:val="8"/>
  </w:num>
  <w:num w:numId="14">
    <w:abstractNumId w:val="4"/>
  </w:num>
  <w:num w:numId="15">
    <w:abstractNumId w:val="2"/>
  </w:num>
  <w:num w:numId="16">
    <w:abstractNumId w:val="5"/>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1"/>
    <w:footnote w:id="0"/>
  </w:footnotePr>
  <w:endnotePr>
    <w:endnote w:id="-1"/>
    <w:endnote w:id="0"/>
  </w:endnotePr>
  <w:compat>
    <w:useFELayout/>
  </w:compat>
  <w:rsids>
    <w:rsidRoot w:val="007145F8"/>
    <w:rsid w:val="00006099"/>
    <w:rsid w:val="00082648"/>
    <w:rsid w:val="000978C5"/>
    <w:rsid w:val="00135800"/>
    <w:rsid w:val="001914CD"/>
    <w:rsid w:val="00191959"/>
    <w:rsid w:val="001952B2"/>
    <w:rsid w:val="00195C90"/>
    <w:rsid w:val="001B346E"/>
    <w:rsid w:val="001E13B6"/>
    <w:rsid w:val="001E3009"/>
    <w:rsid w:val="0022501C"/>
    <w:rsid w:val="0025639B"/>
    <w:rsid w:val="002615B1"/>
    <w:rsid w:val="00264381"/>
    <w:rsid w:val="0031260B"/>
    <w:rsid w:val="003855F7"/>
    <w:rsid w:val="003B7781"/>
    <w:rsid w:val="003C5EE7"/>
    <w:rsid w:val="00410782"/>
    <w:rsid w:val="004358FF"/>
    <w:rsid w:val="0045541F"/>
    <w:rsid w:val="004C7929"/>
    <w:rsid w:val="004D1FE0"/>
    <w:rsid w:val="005154FE"/>
    <w:rsid w:val="005A6FC6"/>
    <w:rsid w:val="00615D05"/>
    <w:rsid w:val="00616B9C"/>
    <w:rsid w:val="00627310"/>
    <w:rsid w:val="0069302F"/>
    <w:rsid w:val="006A0081"/>
    <w:rsid w:val="006C6F19"/>
    <w:rsid w:val="006C6F60"/>
    <w:rsid w:val="006E6B02"/>
    <w:rsid w:val="006F504A"/>
    <w:rsid w:val="007145F8"/>
    <w:rsid w:val="007216A7"/>
    <w:rsid w:val="0079144F"/>
    <w:rsid w:val="007D6F64"/>
    <w:rsid w:val="0080510E"/>
    <w:rsid w:val="008218B1"/>
    <w:rsid w:val="008342CA"/>
    <w:rsid w:val="00835B1F"/>
    <w:rsid w:val="00835B4E"/>
    <w:rsid w:val="00855214"/>
    <w:rsid w:val="0086652C"/>
    <w:rsid w:val="00876EC4"/>
    <w:rsid w:val="00884C93"/>
    <w:rsid w:val="008B3E4A"/>
    <w:rsid w:val="008D265C"/>
    <w:rsid w:val="00956997"/>
    <w:rsid w:val="00965AA3"/>
    <w:rsid w:val="009F774D"/>
    <w:rsid w:val="00A50228"/>
    <w:rsid w:val="00A503BB"/>
    <w:rsid w:val="00A674AB"/>
    <w:rsid w:val="00AD35C5"/>
    <w:rsid w:val="00B01FA4"/>
    <w:rsid w:val="00B06090"/>
    <w:rsid w:val="00B435A5"/>
    <w:rsid w:val="00BA64A2"/>
    <w:rsid w:val="00C103E3"/>
    <w:rsid w:val="00C7495E"/>
    <w:rsid w:val="00C948A9"/>
    <w:rsid w:val="00D260CE"/>
    <w:rsid w:val="00D81055"/>
    <w:rsid w:val="00D85CEF"/>
    <w:rsid w:val="00D94476"/>
    <w:rsid w:val="00DA28E6"/>
    <w:rsid w:val="00DD7F13"/>
    <w:rsid w:val="00DE6C2C"/>
    <w:rsid w:val="00DF5CAA"/>
    <w:rsid w:val="00E0374E"/>
    <w:rsid w:val="00E073B2"/>
    <w:rsid w:val="00EA0A34"/>
    <w:rsid w:val="00EC600E"/>
    <w:rsid w:val="00EC6670"/>
    <w:rsid w:val="00EE1319"/>
    <w:rsid w:val="00F2236A"/>
    <w:rsid w:val="00F223AF"/>
    <w:rsid w:val="00F55C52"/>
    <w:rsid w:val="00F833F9"/>
    <w:rsid w:val="00FE26AE"/>
    <w:rsid w:val="00FE6182"/>
    <w:rsid w:val="00FE6450"/>
    <w:rsid w:val="00FF2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5F8"/>
  </w:style>
  <w:style w:type="paragraph" w:styleId="Heading1">
    <w:name w:val="heading 1"/>
    <w:basedOn w:val="Normal"/>
    <w:next w:val="Normal"/>
    <w:link w:val="Heading1Char"/>
    <w:uiPriority w:val="9"/>
    <w:qFormat/>
    <w:rsid w:val="007145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145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145F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145F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45F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145F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145F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145F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7145F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5F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145F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145F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145F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7145F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145F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145F8"/>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7145F8"/>
    <w:pPr>
      <w:ind w:left="720"/>
      <w:contextualSpacing/>
    </w:pPr>
  </w:style>
  <w:style w:type="character" w:customStyle="1" w:styleId="Heading8Char">
    <w:name w:val="Heading 8 Char"/>
    <w:basedOn w:val="DefaultParagraphFont"/>
    <w:link w:val="Heading8"/>
    <w:uiPriority w:val="9"/>
    <w:rsid w:val="007145F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7145F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7145F8"/>
    <w:pPr>
      <w:spacing w:line="240" w:lineRule="auto"/>
    </w:pPr>
    <w:rPr>
      <w:b/>
      <w:bCs/>
      <w:color w:val="4F81BD" w:themeColor="accent1"/>
      <w:sz w:val="18"/>
      <w:szCs w:val="18"/>
    </w:rPr>
  </w:style>
  <w:style w:type="paragraph" w:styleId="Title">
    <w:name w:val="Title"/>
    <w:basedOn w:val="Normal"/>
    <w:next w:val="Normal"/>
    <w:link w:val="TitleChar"/>
    <w:uiPriority w:val="10"/>
    <w:qFormat/>
    <w:rsid w:val="007145F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145F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145F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145F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7145F8"/>
    <w:rPr>
      <w:b/>
      <w:bCs/>
    </w:rPr>
  </w:style>
  <w:style w:type="character" w:styleId="Emphasis">
    <w:name w:val="Emphasis"/>
    <w:basedOn w:val="DefaultParagraphFont"/>
    <w:uiPriority w:val="20"/>
    <w:qFormat/>
    <w:rsid w:val="007145F8"/>
    <w:rPr>
      <w:i/>
      <w:iCs/>
    </w:rPr>
  </w:style>
  <w:style w:type="paragraph" w:styleId="NoSpacing">
    <w:name w:val="No Spacing"/>
    <w:uiPriority w:val="1"/>
    <w:qFormat/>
    <w:rsid w:val="007145F8"/>
    <w:pPr>
      <w:spacing w:after="0" w:line="240" w:lineRule="auto"/>
    </w:pPr>
  </w:style>
  <w:style w:type="paragraph" w:styleId="Quote">
    <w:name w:val="Quote"/>
    <w:basedOn w:val="Normal"/>
    <w:next w:val="Normal"/>
    <w:link w:val="QuoteChar"/>
    <w:uiPriority w:val="29"/>
    <w:qFormat/>
    <w:rsid w:val="007145F8"/>
    <w:rPr>
      <w:i/>
      <w:iCs/>
      <w:color w:val="000000" w:themeColor="text1"/>
    </w:rPr>
  </w:style>
  <w:style w:type="character" w:customStyle="1" w:styleId="QuoteChar">
    <w:name w:val="Quote Char"/>
    <w:basedOn w:val="DefaultParagraphFont"/>
    <w:link w:val="Quote"/>
    <w:uiPriority w:val="29"/>
    <w:rsid w:val="007145F8"/>
    <w:rPr>
      <w:i/>
      <w:iCs/>
      <w:color w:val="000000" w:themeColor="text1"/>
    </w:rPr>
  </w:style>
  <w:style w:type="paragraph" w:styleId="IntenseQuote">
    <w:name w:val="Intense Quote"/>
    <w:basedOn w:val="Normal"/>
    <w:next w:val="Normal"/>
    <w:link w:val="IntenseQuoteChar"/>
    <w:uiPriority w:val="30"/>
    <w:qFormat/>
    <w:rsid w:val="007145F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145F8"/>
    <w:rPr>
      <w:b/>
      <w:bCs/>
      <w:i/>
      <w:iCs/>
      <w:color w:val="4F81BD" w:themeColor="accent1"/>
    </w:rPr>
  </w:style>
  <w:style w:type="character" w:styleId="SubtleEmphasis">
    <w:name w:val="Subtle Emphasis"/>
    <w:basedOn w:val="DefaultParagraphFont"/>
    <w:uiPriority w:val="19"/>
    <w:qFormat/>
    <w:rsid w:val="007145F8"/>
    <w:rPr>
      <w:i/>
      <w:iCs/>
      <w:color w:val="808080" w:themeColor="text1" w:themeTint="7F"/>
    </w:rPr>
  </w:style>
  <w:style w:type="character" w:styleId="IntenseEmphasis">
    <w:name w:val="Intense Emphasis"/>
    <w:basedOn w:val="DefaultParagraphFont"/>
    <w:uiPriority w:val="21"/>
    <w:qFormat/>
    <w:rsid w:val="007145F8"/>
    <w:rPr>
      <w:b/>
      <w:bCs/>
      <w:i/>
      <w:iCs/>
      <w:color w:val="4F81BD" w:themeColor="accent1"/>
    </w:rPr>
  </w:style>
  <w:style w:type="character" w:styleId="SubtleReference">
    <w:name w:val="Subtle Reference"/>
    <w:basedOn w:val="DefaultParagraphFont"/>
    <w:uiPriority w:val="31"/>
    <w:qFormat/>
    <w:rsid w:val="007145F8"/>
    <w:rPr>
      <w:smallCaps/>
      <w:color w:val="C0504D" w:themeColor="accent2"/>
      <w:u w:val="single"/>
    </w:rPr>
  </w:style>
  <w:style w:type="character" w:styleId="IntenseReference">
    <w:name w:val="Intense Reference"/>
    <w:basedOn w:val="DefaultParagraphFont"/>
    <w:uiPriority w:val="32"/>
    <w:qFormat/>
    <w:rsid w:val="007145F8"/>
    <w:rPr>
      <w:b/>
      <w:bCs/>
      <w:smallCaps/>
      <w:color w:val="C0504D" w:themeColor="accent2"/>
      <w:spacing w:val="5"/>
      <w:u w:val="single"/>
    </w:rPr>
  </w:style>
  <w:style w:type="character" w:styleId="BookTitle">
    <w:name w:val="Book Title"/>
    <w:basedOn w:val="DefaultParagraphFont"/>
    <w:uiPriority w:val="33"/>
    <w:qFormat/>
    <w:rsid w:val="007145F8"/>
    <w:rPr>
      <w:b/>
      <w:bCs/>
      <w:smallCaps/>
      <w:spacing w:val="5"/>
    </w:rPr>
  </w:style>
  <w:style w:type="paragraph" w:styleId="TOCHeading">
    <w:name w:val="TOC Heading"/>
    <w:basedOn w:val="Heading1"/>
    <w:next w:val="Normal"/>
    <w:uiPriority w:val="39"/>
    <w:semiHidden/>
    <w:unhideWhenUsed/>
    <w:qFormat/>
    <w:rsid w:val="007145F8"/>
    <w:pPr>
      <w:outlineLvl w:val="9"/>
    </w:pPr>
  </w:style>
  <w:style w:type="paragraph" w:styleId="Header">
    <w:name w:val="header"/>
    <w:basedOn w:val="Normal"/>
    <w:link w:val="HeaderChar"/>
    <w:uiPriority w:val="99"/>
    <w:unhideWhenUsed/>
    <w:rsid w:val="004358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8FF"/>
  </w:style>
  <w:style w:type="paragraph" w:styleId="Footer">
    <w:name w:val="footer"/>
    <w:basedOn w:val="Normal"/>
    <w:link w:val="FooterChar"/>
    <w:uiPriority w:val="99"/>
    <w:unhideWhenUsed/>
    <w:rsid w:val="004358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8FF"/>
  </w:style>
  <w:style w:type="paragraph" w:styleId="BalloonText">
    <w:name w:val="Balloon Text"/>
    <w:basedOn w:val="Normal"/>
    <w:link w:val="BalloonTextChar"/>
    <w:uiPriority w:val="99"/>
    <w:semiHidden/>
    <w:unhideWhenUsed/>
    <w:rsid w:val="001919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9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13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TotalTime>
  <Pages>4</Pages>
  <Words>1086</Words>
  <Characters>5259</Characters>
  <Application>Microsoft Office Word</Application>
  <DocSecurity>0</DocSecurity>
  <Lines>116</Lines>
  <Paragraphs>84</Paragraphs>
  <ScaleCrop>false</ScaleCrop>
  <HeadingPairs>
    <vt:vector size="2" baseType="variant">
      <vt:variant>
        <vt:lpstr>Title</vt:lpstr>
      </vt:variant>
      <vt:variant>
        <vt:i4>1</vt:i4>
      </vt:variant>
    </vt:vector>
  </HeadingPairs>
  <TitlesOfParts>
    <vt:vector size="1" baseType="lpstr">
      <vt:lpstr/>
    </vt:vector>
  </TitlesOfParts>
  <Company>Northwest Power and Conservation Council</Company>
  <LinksUpToDate>false</LinksUpToDate>
  <CharactersWithSpaces>6261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Fazio</dc:creator>
  <cp:lastModifiedBy>John Fazio</cp:lastModifiedBy>
  <cp:revision>32</cp:revision>
  <dcterms:created xsi:type="dcterms:W3CDTF">2012-08-29T19:46:00Z</dcterms:created>
  <dcterms:modified xsi:type="dcterms:W3CDTF">2012-08-30T15:13:00Z</dcterms:modified>
</cp:coreProperties>
</file>