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02B" w:rsidRPr="00AE002B" w:rsidRDefault="00AE002B" w:rsidP="000B7872">
      <w:pPr>
        <w:shd w:val="clear" w:color="auto" w:fill="FFFFFF"/>
        <w:rPr>
          <w:b/>
          <w:sz w:val="28"/>
          <w:szCs w:val="28"/>
        </w:rPr>
      </w:pPr>
      <w:r w:rsidRPr="00AE002B">
        <w:rPr>
          <w:b/>
          <w:noProof/>
          <w:sz w:val="28"/>
          <w:szCs w:val="28"/>
        </w:rPr>
        <w:drawing>
          <wp:anchor distT="0" distB="0" distL="114300" distR="114300" simplePos="0" relativeHeight="251658240" behindDoc="0" locked="0" layoutInCell="1" allowOverlap="1">
            <wp:simplePos x="0" y="0"/>
            <wp:positionH relativeFrom="column">
              <wp:posOffset>5119901</wp:posOffset>
            </wp:positionH>
            <wp:positionV relativeFrom="paragraph">
              <wp:posOffset>-750627</wp:posOffset>
            </wp:positionV>
            <wp:extent cx="1373021" cy="1160060"/>
            <wp:effectExtent l="19050" t="0" r="0" b="0"/>
            <wp:wrapNone/>
            <wp:docPr id="1" name="Picture 0" descr="R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 Logo.jpg"/>
                    <pic:cNvPicPr/>
                  </pic:nvPicPr>
                  <pic:blipFill>
                    <a:blip r:embed="rId8" cstate="print"/>
                    <a:stretch>
                      <a:fillRect/>
                    </a:stretch>
                  </pic:blipFill>
                  <pic:spPr>
                    <a:xfrm>
                      <a:off x="0" y="0"/>
                      <a:ext cx="1373021" cy="1160060"/>
                    </a:xfrm>
                    <a:prstGeom prst="rect">
                      <a:avLst/>
                    </a:prstGeom>
                  </pic:spPr>
                </pic:pic>
              </a:graphicData>
            </a:graphic>
          </wp:anchor>
        </w:drawing>
      </w:r>
      <w:r w:rsidRPr="00AE002B">
        <w:rPr>
          <w:b/>
          <w:sz w:val="28"/>
          <w:szCs w:val="28"/>
        </w:rPr>
        <w:t xml:space="preserve">Pacific Northwest Resource </w:t>
      </w:r>
      <w:r w:rsidR="000B7872" w:rsidRPr="00AE002B">
        <w:rPr>
          <w:b/>
          <w:sz w:val="28"/>
          <w:szCs w:val="28"/>
        </w:rPr>
        <w:t xml:space="preserve">Adequacy </w:t>
      </w:r>
      <w:r w:rsidRPr="00AE002B">
        <w:rPr>
          <w:b/>
          <w:sz w:val="28"/>
          <w:szCs w:val="28"/>
        </w:rPr>
        <w:t>Forum</w:t>
      </w:r>
    </w:p>
    <w:p w:rsidR="00AE002B" w:rsidRPr="00AE002B" w:rsidRDefault="00CE57FA" w:rsidP="000B7872">
      <w:pPr>
        <w:shd w:val="clear" w:color="auto" w:fill="FFFFFF"/>
        <w:rPr>
          <w:b/>
          <w:sz w:val="28"/>
          <w:szCs w:val="28"/>
        </w:rPr>
      </w:pPr>
      <w:r>
        <w:rPr>
          <w:b/>
          <w:sz w:val="28"/>
          <w:szCs w:val="28"/>
        </w:rPr>
        <w:t xml:space="preserve">Proposed </w:t>
      </w:r>
      <w:r w:rsidR="00AE002B" w:rsidRPr="00AE002B">
        <w:rPr>
          <w:b/>
          <w:sz w:val="28"/>
          <w:szCs w:val="28"/>
        </w:rPr>
        <w:t xml:space="preserve">Revision </w:t>
      </w:r>
      <w:r w:rsidR="00A52017">
        <w:rPr>
          <w:b/>
          <w:sz w:val="28"/>
          <w:szCs w:val="28"/>
        </w:rPr>
        <w:t>of the</w:t>
      </w:r>
      <w:r w:rsidR="00AE002B" w:rsidRPr="00AE002B">
        <w:rPr>
          <w:b/>
          <w:sz w:val="28"/>
          <w:szCs w:val="28"/>
        </w:rPr>
        <w:t xml:space="preserve"> Resource Adequacy Standard</w:t>
      </w:r>
      <w:r w:rsidR="00AE002B" w:rsidRPr="00AE002B">
        <w:rPr>
          <w:rStyle w:val="FootnoteReference"/>
          <w:b/>
          <w:sz w:val="28"/>
          <w:szCs w:val="28"/>
        </w:rPr>
        <w:footnoteReference w:id="1"/>
      </w:r>
    </w:p>
    <w:p w:rsidR="000B7872" w:rsidRPr="00AE002B" w:rsidRDefault="000B7872" w:rsidP="000B7872">
      <w:pPr>
        <w:shd w:val="clear" w:color="auto" w:fill="FFFFFF"/>
      </w:pPr>
    </w:p>
    <w:p w:rsidR="0049542A" w:rsidRPr="0049542A" w:rsidRDefault="0049542A" w:rsidP="002E0D2A">
      <w:pPr>
        <w:rPr>
          <w:b/>
        </w:rPr>
      </w:pPr>
      <w:r w:rsidRPr="0049542A">
        <w:rPr>
          <w:b/>
        </w:rPr>
        <w:t>Summary</w:t>
      </w:r>
    </w:p>
    <w:p w:rsidR="0049542A" w:rsidRDefault="0049542A" w:rsidP="002E0D2A"/>
    <w:p w:rsidR="00056AFB" w:rsidRDefault="00B278DE" w:rsidP="002E0D2A">
      <w:r>
        <w:t xml:space="preserve">The Northwest Resource Adequacy Forum is contemplating a revision to its adequacy standard (adopted by the Council in 2008).  After </w:t>
      </w:r>
      <w:r w:rsidR="00056AFB">
        <w:t xml:space="preserve">three years of implementation and </w:t>
      </w:r>
      <w:r>
        <w:t xml:space="preserve">a peer review of the methodology, the Forum is considering several options </w:t>
      </w:r>
      <w:r w:rsidR="00056AFB">
        <w:t>to improve the standard</w:t>
      </w:r>
      <w:r>
        <w:t xml:space="preserve">.  </w:t>
      </w:r>
    </w:p>
    <w:p w:rsidR="00056AFB" w:rsidRDefault="00056AFB" w:rsidP="002E0D2A"/>
    <w:p w:rsidR="00056AFB" w:rsidRDefault="00056AFB" w:rsidP="002E0D2A">
      <w:r>
        <w:t>Several terms used quite often in the discussion below are defined here to ensure that readers clearly understand what is being proposed.  Those terms are:</w:t>
      </w:r>
    </w:p>
    <w:p w:rsidR="00056AFB" w:rsidRDefault="00056AFB" w:rsidP="00056AFB">
      <w:pPr>
        <w:pStyle w:val="ListParagraph"/>
        <w:numPr>
          <w:ilvl w:val="0"/>
          <w:numId w:val="6"/>
        </w:numPr>
      </w:pPr>
      <w:r w:rsidRPr="00953DE2">
        <w:rPr>
          <w:i/>
        </w:rPr>
        <w:t>Metric</w:t>
      </w:r>
      <w:r>
        <w:t xml:space="preserve"> – </w:t>
      </w:r>
      <w:r w:rsidR="00953DE2">
        <w:t xml:space="preserve">a quantity that can be measured, such as loss-of-load probability or expected unserved </w:t>
      </w:r>
      <w:r w:rsidR="00D933B2">
        <w:t>energy</w:t>
      </w:r>
      <w:r w:rsidR="002E24ED">
        <w:t>.</w:t>
      </w:r>
    </w:p>
    <w:p w:rsidR="00056AFB" w:rsidRDefault="00056AFB" w:rsidP="00056AFB">
      <w:pPr>
        <w:pStyle w:val="ListParagraph"/>
        <w:numPr>
          <w:ilvl w:val="0"/>
          <w:numId w:val="6"/>
        </w:numPr>
      </w:pPr>
      <w:r w:rsidRPr="00953DE2">
        <w:rPr>
          <w:i/>
        </w:rPr>
        <w:t>Measure</w:t>
      </w:r>
      <w:r>
        <w:t xml:space="preserve"> – a value for a metric</w:t>
      </w:r>
      <w:r w:rsidR="002E24ED">
        <w:t>.</w:t>
      </w:r>
      <w:r w:rsidR="00953DE2">
        <w:t xml:space="preserve"> </w:t>
      </w:r>
    </w:p>
    <w:p w:rsidR="00056AFB" w:rsidRDefault="00056AFB" w:rsidP="00056AFB">
      <w:pPr>
        <w:pStyle w:val="ListParagraph"/>
        <w:numPr>
          <w:ilvl w:val="0"/>
          <w:numId w:val="6"/>
        </w:numPr>
      </w:pPr>
      <w:r w:rsidRPr="00953DE2">
        <w:rPr>
          <w:i/>
        </w:rPr>
        <w:t>Threshold</w:t>
      </w:r>
      <w:r>
        <w:t xml:space="preserve"> – a limiting value for a metric, for example, a metric with a value greater than a certain threshold </w:t>
      </w:r>
      <w:r w:rsidR="00953DE2">
        <w:t>would</w:t>
      </w:r>
      <w:r>
        <w:t xml:space="preserve"> </w:t>
      </w:r>
      <w:r w:rsidR="00953DE2">
        <w:t>indicate an</w:t>
      </w:r>
      <w:r>
        <w:t xml:space="preserve"> inadequate</w:t>
      </w:r>
      <w:r w:rsidR="00953DE2">
        <w:t xml:space="preserve"> resource supply</w:t>
      </w:r>
      <w:r>
        <w:t>.</w:t>
      </w:r>
    </w:p>
    <w:p w:rsidR="00056AFB" w:rsidRDefault="00953DE2" w:rsidP="002E0D2A">
      <w:pPr>
        <w:pStyle w:val="ListParagraph"/>
        <w:numPr>
          <w:ilvl w:val="0"/>
          <w:numId w:val="6"/>
        </w:numPr>
      </w:pPr>
      <w:r w:rsidRPr="00300797">
        <w:rPr>
          <w:i/>
        </w:rPr>
        <w:t>Adequacy Level</w:t>
      </w:r>
      <w:r>
        <w:t xml:space="preserve"> – this refers to providing a specific amount or level of adequacy, for example, changing the 5% threshold for the LOLP metric would change the level of adequacy provided. </w:t>
      </w:r>
    </w:p>
    <w:p w:rsidR="00056AFB" w:rsidRDefault="00056AFB" w:rsidP="002E0D2A"/>
    <w:p w:rsidR="00B278DE" w:rsidRDefault="002E24ED" w:rsidP="002E0D2A">
      <w:r>
        <w:t>O</w:t>
      </w:r>
      <w:r w:rsidR="00B278DE">
        <w:t>ptions</w:t>
      </w:r>
      <w:r>
        <w:t xml:space="preserve"> being considered by the Forum</w:t>
      </w:r>
      <w:r w:rsidR="00B278DE">
        <w:t xml:space="preserve"> are listed below and </w:t>
      </w:r>
      <w:r w:rsidR="00645071">
        <w:t>are described in more detail later in this document</w:t>
      </w:r>
      <w:r w:rsidR="00B278DE">
        <w:t>.</w:t>
      </w:r>
      <w:r w:rsidR="000311A2">
        <w:t xml:space="preserve">  </w:t>
      </w:r>
      <w:r w:rsidR="00361F12">
        <w:t xml:space="preserve">Informal queries </w:t>
      </w:r>
      <w:r w:rsidR="00D933B2">
        <w:t xml:space="preserve">of Forum members </w:t>
      </w:r>
      <w:r w:rsidR="00361F12">
        <w:t xml:space="preserve">regarding potential changes to the standard indicate a consensus for providing more information but are split on whether to change the metric or the adequacy level.  </w:t>
      </w:r>
      <w:r w:rsidR="00D933B2">
        <w:t>Options include:</w:t>
      </w:r>
      <w:r w:rsidR="00361F12">
        <w:t xml:space="preserve">  </w:t>
      </w:r>
    </w:p>
    <w:p w:rsidR="00B278DE" w:rsidRDefault="00B278DE" w:rsidP="002E0D2A"/>
    <w:p w:rsidR="00B278DE" w:rsidRDefault="00B278DE" w:rsidP="00B278DE">
      <w:pPr>
        <w:pStyle w:val="ListParagraph"/>
        <w:numPr>
          <w:ilvl w:val="0"/>
          <w:numId w:val="4"/>
        </w:numPr>
      </w:pPr>
      <w:r>
        <w:t xml:space="preserve">No change to the standard </w:t>
      </w:r>
    </w:p>
    <w:p w:rsidR="003C0F88" w:rsidRDefault="005712F3" w:rsidP="00B278DE">
      <w:pPr>
        <w:pStyle w:val="ListParagraph"/>
        <w:numPr>
          <w:ilvl w:val="0"/>
          <w:numId w:val="4"/>
        </w:numPr>
      </w:pPr>
      <w:r>
        <w:t xml:space="preserve">No change to the </w:t>
      </w:r>
      <w:r w:rsidR="005706D8">
        <w:t>adequacy level</w:t>
      </w:r>
      <w:r>
        <w:t xml:space="preserve"> but</w:t>
      </w:r>
      <w:r w:rsidR="003C0F88">
        <w:t xml:space="preserve">: </w:t>
      </w:r>
    </w:p>
    <w:p w:rsidR="003C0F88" w:rsidRDefault="0033514D" w:rsidP="003C0F88">
      <w:pPr>
        <w:pStyle w:val="ListParagraph"/>
        <w:numPr>
          <w:ilvl w:val="1"/>
          <w:numId w:val="4"/>
        </w:numPr>
      </w:pPr>
      <w:r>
        <w:t xml:space="preserve">Add a metric to </w:t>
      </w:r>
      <w:r w:rsidR="003C0F88">
        <w:t>measure the size of potential problems</w:t>
      </w:r>
      <w:r w:rsidR="002E24ED">
        <w:t>.</w:t>
      </w:r>
    </w:p>
    <w:p w:rsidR="003C0F88" w:rsidRDefault="003C0F88" w:rsidP="003C0F88">
      <w:pPr>
        <w:pStyle w:val="ListParagraph"/>
        <w:numPr>
          <w:ilvl w:val="1"/>
          <w:numId w:val="4"/>
        </w:numPr>
      </w:pPr>
      <w:r>
        <w:t>A</w:t>
      </w:r>
      <w:r w:rsidR="0033514D">
        <w:t>dd a metric to measure the use of emergency resources or actions</w:t>
      </w:r>
      <w:r w:rsidR="002E24ED">
        <w:t>.</w:t>
      </w:r>
      <w:r>
        <w:t xml:space="preserve">  </w:t>
      </w:r>
    </w:p>
    <w:p w:rsidR="0033514D" w:rsidRDefault="0033514D" w:rsidP="003C0F88">
      <w:pPr>
        <w:pStyle w:val="ListParagraph"/>
        <w:numPr>
          <w:ilvl w:val="0"/>
          <w:numId w:val="4"/>
        </w:numPr>
      </w:pPr>
      <w:r>
        <w:t>Same as option 2</w:t>
      </w:r>
      <w:r w:rsidR="003C0F88">
        <w:t xml:space="preserve"> but</w:t>
      </w:r>
      <w:r>
        <w:t>:</w:t>
      </w:r>
    </w:p>
    <w:p w:rsidR="0033514D" w:rsidRDefault="0033514D" w:rsidP="0033514D">
      <w:pPr>
        <w:pStyle w:val="ListParagraph"/>
        <w:numPr>
          <w:ilvl w:val="1"/>
          <w:numId w:val="4"/>
        </w:numPr>
      </w:pPr>
      <w:r>
        <w:t>R</w:t>
      </w:r>
      <w:r w:rsidR="003C0F88">
        <w:t>eplace LOLP with a different metric</w:t>
      </w:r>
      <w:r w:rsidR="002E24ED">
        <w:t>.</w:t>
      </w:r>
      <w:r>
        <w:t xml:space="preserve"> </w:t>
      </w:r>
    </w:p>
    <w:p w:rsidR="005712F3" w:rsidRDefault="001B5A27" w:rsidP="0033514D">
      <w:pPr>
        <w:pStyle w:val="ListParagraph"/>
        <w:numPr>
          <w:ilvl w:val="1"/>
          <w:numId w:val="4"/>
        </w:numPr>
      </w:pPr>
      <w:r>
        <w:t>T</w:t>
      </w:r>
      <w:r w:rsidR="0033514D">
        <w:t xml:space="preserve">hreshold for the replacement metric </w:t>
      </w:r>
      <w:r>
        <w:t>must</w:t>
      </w:r>
      <w:r w:rsidR="0033514D">
        <w:t xml:space="preserve"> ensure</w:t>
      </w:r>
      <w:r w:rsidR="00B65E0A">
        <w:t>, to the extent possible,</w:t>
      </w:r>
      <w:r w:rsidR="0033514D">
        <w:t xml:space="preserve"> the same level of adequacy</w:t>
      </w:r>
      <w:r w:rsidR="00145FB3">
        <w:t xml:space="preserve"> as in options 1 and 2</w:t>
      </w:r>
      <w:r w:rsidR="002E24ED">
        <w:t>.</w:t>
      </w:r>
      <w:r w:rsidR="003C0F88">
        <w:t xml:space="preserve"> </w:t>
      </w:r>
      <w:r w:rsidR="005712F3">
        <w:t xml:space="preserve"> </w:t>
      </w:r>
    </w:p>
    <w:p w:rsidR="002E24ED" w:rsidRDefault="005712F3" w:rsidP="00B278DE">
      <w:pPr>
        <w:pStyle w:val="ListParagraph"/>
        <w:numPr>
          <w:ilvl w:val="0"/>
          <w:numId w:val="4"/>
        </w:numPr>
      </w:pPr>
      <w:r>
        <w:t xml:space="preserve">Change the </w:t>
      </w:r>
      <w:r w:rsidR="002E24ED">
        <w:t xml:space="preserve">adequacy level to better reflect tolerance for emergency </w:t>
      </w:r>
      <w:r w:rsidR="001B5A27">
        <w:t>actions</w:t>
      </w:r>
    </w:p>
    <w:p w:rsidR="001B5A27" w:rsidRDefault="002E24ED" w:rsidP="002E24ED">
      <w:pPr>
        <w:pStyle w:val="ListParagraph"/>
        <w:numPr>
          <w:ilvl w:val="1"/>
          <w:numId w:val="4"/>
        </w:numPr>
      </w:pPr>
      <w:r>
        <w:t xml:space="preserve">Define an adequate supply as one in which </w:t>
      </w:r>
      <w:r w:rsidR="001B5A27">
        <w:t xml:space="preserve">the likelihood of </w:t>
      </w:r>
      <w:r>
        <w:t xml:space="preserve">emergency </w:t>
      </w:r>
      <w:r w:rsidR="001B5A27">
        <w:t>actions is within acceptable levels</w:t>
      </w:r>
    </w:p>
    <w:p w:rsidR="001B5A27" w:rsidRDefault="001B5A27" w:rsidP="002E24ED">
      <w:pPr>
        <w:pStyle w:val="ListParagraph"/>
        <w:numPr>
          <w:ilvl w:val="1"/>
          <w:numId w:val="4"/>
        </w:numPr>
      </w:pPr>
      <w:r>
        <w:t xml:space="preserve">Change the LOLP threshold according to provision a) above </w:t>
      </w:r>
    </w:p>
    <w:p w:rsidR="005712F3" w:rsidRDefault="001B5A27" w:rsidP="002E24ED">
      <w:pPr>
        <w:pStyle w:val="ListParagraph"/>
        <w:numPr>
          <w:ilvl w:val="1"/>
          <w:numId w:val="4"/>
        </w:numPr>
      </w:pPr>
      <w:r>
        <w:t xml:space="preserve">Add a metric to measure the size of potential problems.  </w:t>
      </w:r>
    </w:p>
    <w:p w:rsidR="003C0F88" w:rsidRDefault="003C0F88" w:rsidP="003C0F88"/>
    <w:p w:rsidR="005712F3" w:rsidRDefault="005712F3" w:rsidP="005712F3"/>
    <w:p w:rsidR="00674B7C" w:rsidRDefault="00674B7C">
      <w:pPr>
        <w:rPr>
          <w:b/>
        </w:rPr>
      </w:pPr>
      <w:r>
        <w:rPr>
          <w:b/>
        </w:rPr>
        <w:br w:type="page"/>
      </w:r>
    </w:p>
    <w:p w:rsidR="00B278DE" w:rsidRPr="00B278DE" w:rsidRDefault="00B278DE" w:rsidP="002E0D2A">
      <w:pPr>
        <w:rPr>
          <w:b/>
        </w:rPr>
      </w:pPr>
      <w:r w:rsidRPr="00B278DE">
        <w:rPr>
          <w:b/>
        </w:rPr>
        <w:lastRenderedPageBreak/>
        <w:t>Background</w:t>
      </w:r>
    </w:p>
    <w:p w:rsidR="00B278DE" w:rsidRDefault="00B278DE" w:rsidP="002E0D2A"/>
    <w:p w:rsidR="002E0D2A" w:rsidRDefault="002E0D2A" w:rsidP="002E0D2A">
      <w:r w:rsidRPr="005147A2">
        <w:t xml:space="preserve">The </w:t>
      </w:r>
      <w:r>
        <w:t>Resource Adequacy S</w:t>
      </w:r>
      <w:r w:rsidRPr="005147A2">
        <w:t xml:space="preserve">tandard </w:t>
      </w:r>
      <w:r>
        <w:t xml:space="preserve">serves as a gauge to assess whether the Northwest electricity supply is sufficient to meet the region’s needs now and in the future.  It provides a </w:t>
      </w:r>
      <w:r w:rsidRPr="003937BB">
        <w:rPr>
          <w:i/>
        </w:rPr>
        <w:t>minimum threshold</w:t>
      </w:r>
      <w:r w:rsidRPr="005147A2">
        <w:t xml:space="preserve"> that serves as an early warning should resource development fall </w:t>
      </w:r>
      <w:r>
        <w:t xml:space="preserve">dangerously </w:t>
      </w:r>
      <w:r w:rsidRPr="005147A2">
        <w:t>short</w:t>
      </w:r>
      <w:r>
        <w:t xml:space="preserve">.  It </w:t>
      </w:r>
      <w:r w:rsidRPr="005147A2">
        <w:t xml:space="preserve">does not </w:t>
      </w:r>
      <w:r>
        <w:t>mandate</w:t>
      </w:r>
      <w:r w:rsidRPr="005147A2">
        <w:t xml:space="preserve"> compliance or imply </w:t>
      </w:r>
      <w:r>
        <w:t xml:space="preserve">any </w:t>
      </w:r>
      <w:r w:rsidRPr="005147A2">
        <w:t xml:space="preserve">enforcement mechanisms.  </w:t>
      </w:r>
      <w:r>
        <w:t xml:space="preserve">It does not directly </w:t>
      </w:r>
      <w:r w:rsidRPr="005147A2">
        <w:t>apply to individual utilities</w:t>
      </w:r>
      <w:r>
        <w:t xml:space="preserve"> – </w:t>
      </w:r>
      <w:r w:rsidRPr="005147A2">
        <w:t>because every utility’s circumstances differ.</w:t>
      </w:r>
      <w:r>
        <w:t xml:space="preserve"> What it is intended to do</w:t>
      </w:r>
      <w:r w:rsidR="0049542A">
        <w:t>,</w:t>
      </w:r>
      <w:r>
        <w:t xml:space="preserve"> is to initiate a discussion among regional planners, should the assessment </w:t>
      </w:r>
      <w:r w:rsidR="0049542A">
        <w:t>indicate</w:t>
      </w:r>
      <w:r>
        <w:t xml:space="preserve"> that resource development is </w:t>
      </w:r>
      <w:r w:rsidR="0076767B">
        <w:t xml:space="preserve">seriously </w:t>
      </w:r>
      <w:r>
        <w:t xml:space="preserve">lagging.  </w:t>
      </w:r>
    </w:p>
    <w:p w:rsidR="002E0D2A" w:rsidRDefault="002E0D2A" w:rsidP="00E90830"/>
    <w:p w:rsidR="00B25846" w:rsidRDefault="0049542A" w:rsidP="00E90830">
      <w:r>
        <w:t>The current standard has been in use since 2008. E</w:t>
      </w:r>
      <w:r w:rsidR="0059346E">
        <w:t xml:space="preserve">very </w:t>
      </w:r>
      <w:r>
        <w:t xml:space="preserve">year since then, </w:t>
      </w:r>
      <w:r w:rsidR="0059346E">
        <w:t xml:space="preserve">the adequacy </w:t>
      </w:r>
      <w:r>
        <w:t xml:space="preserve">assessment </w:t>
      </w:r>
      <w:r w:rsidR="0059346E">
        <w:t>has shown the Northwest’s power supply to be adequate.  However, the most recently published assessment</w:t>
      </w:r>
      <w:r w:rsidR="0059346E">
        <w:rPr>
          <w:rStyle w:val="FootnoteReference"/>
        </w:rPr>
        <w:footnoteReference w:id="2"/>
      </w:r>
      <w:r w:rsidR="0059346E">
        <w:t xml:space="preserve"> </w:t>
      </w:r>
      <w:r w:rsidR="00B25846">
        <w:t>warned</w:t>
      </w:r>
      <w:r w:rsidR="0059346E">
        <w:t xml:space="preserve"> that our summer electricity needs</w:t>
      </w:r>
      <w:r w:rsidR="00B25846">
        <w:t xml:space="preserve"> </w:t>
      </w:r>
      <w:r w:rsidR="00760EE4">
        <w:t>are</w:t>
      </w:r>
      <w:r w:rsidR="00B25846">
        <w:t xml:space="preserve"> growing rapidly</w:t>
      </w:r>
      <w:r w:rsidR="0076767B">
        <w:t xml:space="preserve"> and that increasing amounts of variable generation (wind) are adding to the complexity of system operation</w:t>
      </w:r>
      <w:r w:rsidR="00B25846">
        <w:t>.</w:t>
      </w:r>
    </w:p>
    <w:p w:rsidR="00B25846" w:rsidRDefault="00B25846" w:rsidP="00E90830"/>
    <w:p w:rsidR="00B25846" w:rsidRDefault="00175FEE" w:rsidP="00E90830">
      <w:r>
        <w:t xml:space="preserve">Since its inception, the adequacy assessment has sparked a debate about what it really measures and how it relates to individual utility planning.  </w:t>
      </w:r>
      <w:r w:rsidR="0088502A">
        <w:t xml:space="preserve">Regional planners pointed out an apparent </w:t>
      </w:r>
      <w:r w:rsidR="00BD583D">
        <w:t xml:space="preserve">discrepancy </w:t>
      </w:r>
      <w:r w:rsidR="0088502A">
        <w:t xml:space="preserve">between the </w:t>
      </w:r>
      <w:r w:rsidR="00D933B2">
        <w:t xml:space="preserve">resource strategy in the </w:t>
      </w:r>
      <w:r w:rsidR="00BD583D">
        <w:t xml:space="preserve">Council’s </w:t>
      </w:r>
      <w:r w:rsidR="0088502A">
        <w:t>6</w:t>
      </w:r>
      <w:r w:rsidR="0088502A" w:rsidRPr="0088502A">
        <w:rPr>
          <w:vertAlign w:val="superscript"/>
        </w:rPr>
        <w:t>th</w:t>
      </w:r>
      <w:r w:rsidR="0088502A">
        <w:t xml:space="preserve"> </w:t>
      </w:r>
      <w:r w:rsidR="00BD583D">
        <w:t>power plan</w:t>
      </w:r>
      <w:r w:rsidR="0088502A">
        <w:t xml:space="preserve"> and the </w:t>
      </w:r>
      <w:r w:rsidR="00D933B2">
        <w:t xml:space="preserve">Council’s </w:t>
      </w:r>
      <w:r w:rsidR="0088502A">
        <w:t>2010 adequacy assessment</w:t>
      </w:r>
      <w:r w:rsidR="00BD583D">
        <w:t xml:space="preserve">. </w:t>
      </w:r>
      <w:r w:rsidR="00D933B2">
        <w:t xml:space="preserve"> </w:t>
      </w:r>
      <w:r w:rsidR="00BD583D">
        <w:t xml:space="preserve">The assessment indicated that the power supply </w:t>
      </w:r>
      <w:r w:rsidR="0088502A">
        <w:t>would continue to be</w:t>
      </w:r>
      <w:r w:rsidR="00BD583D">
        <w:t xml:space="preserve"> adequate at least through 2015, yet the resource strategy e</w:t>
      </w:r>
      <w:r w:rsidR="00042BD8">
        <w:t>ncouraged aggressive acquisition</w:t>
      </w:r>
      <w:r w:rsidR="00BD583D">
        <w:t xml:space="preserve"> of conservation and other resources</w:t>
      </w:r>
      <w:r w:rsidR="0076767B">
        <w:t xml:space="preserve"> beyond the adequacy threshold</w:t>
      </w:r>
      <w:r w:rsidR="00BD583D">
        <w:t>.  The answer</w:t>
      </w:r>
      <w:r w:rsidR="00D933B2">
        <w:t xml:space="preserve"> is that the apparent</w:t>
      </w:r>
      <w:r w:rsidR="0088502A">
        <w:t xml:space="preserve"> discrepancy </w:t>
      </w:r>
      <w:r w:rsidR="00D933B2">
        <w:t xml:space="preserve">is meaningless </w:t>
      </w:r>
      <w:r w:rsidR="0088502A">
        <w:t xml:space="preserve">because </w:t>
      </w:r>
      <w:r w:rsidR="00BD583D">
        <w:t xml:space="preserve">an adequacy assessment does not equate to a resource needs assessment.  The latter involves much more than simply “keeping the lights on.”  While an adequacy assessment indicates the likelihood of curtailment, cost notwithstanding, a resource needs assessment takes economic, political and environmental effects into consideration.    </w:t>
      </w:r>
      <w:r>
        <w:t xml:space="preserve">  </w:t>
      </w:r>
    </w:p>
    <w:p w:rsidR="00B25846" w:rsidRDefault="00B25846" w:rsidP="00E90830"/>
    <w:p w:rsidR="00B25846" w:rsidRDefault="00BD583D" w:rsidP="00E90830">
      <w:r>
        <w:t>Nonetheless, it became clear to Forum members that the</w:t>
      </w:r>
      <w:r w:rsidR="00042BD8">
        <w:t xml:space="preserve"> current standard was not as useful to planners as originally believed. Thus, the Forum initiated a peer review </w:t>
      </w:r>
      <w:r w:rsidR="0088502A">
        <w:t>of</w:t>
      </w:r>
      <w:r w:rsidR="00042BD8">
        <w:t xml:space="preserve"> the methodology used to develop the standard.  That review was completed in May of 2011 and recommended that the standard be modified to include a measure of the size of potential problems.  It also implied that a secondary measure also be as</w:t>
      </w:r>
      <w:r w:rsidR="0076767B">
        <w:t>sessed, one that would reflect “operator stress</w:t>
      </w:r>
      <w:r w:rsidR="00042BD8">
        <w:t xml:space="preserve"> level</w:t>
      </w:r>
      <w:r w:rsidR="0076767B">
        <w:t>”</w:t>
      </w:r>
      <w:r w:rsidR="00042BD8">
        <w:t xml:space="preserve"> </w:t>
      </w:r>
      <w:r w:rsidR="0088502A">
        <w:t xml:space="preserve">related to the likelihood of having to take emergency actions.  </w:t>
      </w:r>
      <w:r w:rsidR="00042BD8">
        <w:t xml:space="preserve">The secondary measure </w:t>
      </w:r>
      <w:r w:rsidR="0088502A">
        <w:t xml:space="preserve">would quantify how often </w:t>
      </w:r>
      <w:r w:rsidR="00042BD8">
        <w:t>contingency</w:t>
      </w:r>
      <w:r w:rsidR="0088502A">
        <w:t xml:space="preserve"> resources are likely to be dispatched.  </w:t>
      </w:r>
      <w:r w:rsidR="00E77EB7">
        <w:t>When that likelihood exceeds an acceptable level, utilities</w:t>
      </w:r>
      <w:r w:rsidR="0076767B">
        <w:t xml:space="preserve"> </w:t>
      </w:r>
      <w:r w:rsidR="00E77EB7">
        <w:t>are</w:t>
      </w:r>
      <w:r w:rsidR="0076767B">
        <w:t xml:space="preserve"> </w:t>
      </w:r>
      <w:r w:rsidR="00E77EB7">
        <w:t xml:space="preserve">more </w:t>
      </w:r>
      <w:r w:rsidR="0076767B">
        <w:t xml:space="preserve">likely </w:t>
      </w:r>
      <w:r w:rsidR="00E77EB7">
        <w:t xml:space="preserve">to consider acquiring </w:t>
      </w:r>
      <w:r w:rsidR="00042BD8">
        <w:t>new resources</w:t>
      </w:r>
      <w:r w:rsidR="00E77EB7">
        <w:t>, r</w:t>
      </w:r>
      <w:r w:rsidR="00042BD8">
        <w:t xml:space="preserve">egardless of the </w:t>
      </w:r>
      <w:r w:rsidR="0076767B">
        <w:t>calculated LOLP value</w:t>
      </w:r>
      <w:r w:rsidR="00042BD8">
        <w:t xml:space="preserve">.  This secondary measure (currently referred to as the contingency resource usage </w:t>
      </w:r>
      <w:r w:rsidR="0076767B">
        <w:t>probability</w:t>
      </w:r>
      <w:r w:rsidR="00E77EB7">
        <w:t xml:space="preserve"> or CRUP</w:t>
      </w:r>
      <w:r w:rsidR="0076767B">
        <w:t xml:space="preserve">) is </w:t>
      </w:r>
      <w:r w:rsidR="00E77EB7">
        <w:t xml:space="preserve">a better indicator of </w:t>
      </w:r>
      <w:r w:rsidR="00042BD8">
        <w:t>resource need</w:t>
      </w:r>
      <w:r w:rsidR="00E77EB7">
        <w:t xml:space="preserve"> than the current adequacy </w:t>
      </w:r>
      <w:r w:rsidR="00042BD8">
        <w:t xml:space="preserve">assessment.  </w:t>
      </w:r>
      <w:r>
        <w:t xml:space="preserve"> </w:t>
      </w:r>
    </w:p>
    <w:p w:rsidR="00B25846" w:rsidRDefault="00B25846" w:rsidP="00E90830"/>
    <w:p w:rsidR="00D933B2" w:rsidRDefault="00D933B2">
      <w:pPr>
        <w:rPr>
          <w:b/>
        </w:rPr>
      </w:pPr>
      <w:r>
        <w:rPr>
          <w:b/>
        </w:rPr>
        <w:br w:type="page"/>
      </w:r>
    </w:p>
    <w:p w:rsidR="002E24ED" w:rsidRPr="003C0F88" w:rsidRDefault="002E24ED" w:rsidP="002E24ED">
      <w:pPr>
        <w:rPr>
          <w:b/>
        </w:rPr>
      </w:pPr>
      <w:r w:rsidRPr="003C0F88">
        <w:rPr>
          <w:b/>
        </w:rPr>
        <w:lastRenderedPageBreak/>
        <w:t>Metrics used for Adequacy Assessment</w:t>
      </w:r>
    </w:p>
    <w:p w:rsidR="002E24ED" w:rsidRDefault="002E24ED" w:rsidP="002E24ED"/>
    <w:p w:rsidR="002E24ED" w:rsidRDefault="00F00C1E" w:rsidP="002E24ED">
      <w:r>
        <w:t xml:space="preserve">Before discussing ways in which the Northwest adequacy standard could be amended, it is important to define metrics that </w:t>
      </w:r>
      <w:r w:rsidR="007260E9">
        <w:t>can be</w:t>
      </w:r>
      <w:r>
        <w:t xml:space="preserve"> used to assess adequacy.  </w:t>
      </w:r>
      <w:r w:rsidR="002E24ED">
        <w:t>The</w:t>
      </w:r>
      <w:r w:rsidR="007260E9">
        <w:t>se</w:t>
      </w:r>
      <w:r w:rsidR="002E24ED">
        <w:t xml:space="preserve"> </w:t>
      </w:r>
      <w:r w:rsidR="007260E9">
        <w:t>me</w:t>
      </w:r>
      <w:r w:rsidR="002E24ED">
        <w:t>trics</w:t>
      </w:r>
      <w:r w:rsidR="007260E9">
        <w:t xml:space="preserve"> (listed below)</w:t>
      </w:r>
      <w:r w:rsidR="002E24ED">
        <w:t xml:space="preserve"> measure different aspects of a power supply’s ability to serve load</w:t>
      </w:r>
      <w:r w:rsidR="007260E9">
        <w:t xml:space="preserve"> and each can be used to define a level of adequacy</w:t>
      </w:r>
      <w:r w:rsidR="002E24ED">
        <w:t xml:space="preserve">.  </w:t>
      </w:r>
      <w:r w:rsidR="007260E9">
        <w:t xml:space="preserve">The first three metrics are the most commonly used. The CVaR metric originated from the business/economic sector but can be adapted for adequacy assessments. The CRUP is a newly created metric based on recommendations from the methodology review.  </w:t>
      </w:r>
    </w:p>
    <w:p w:rsidR="002E24ED" w:rsidRDefault="002E24ED" w:rsidP="002E24ED"/>
    <w:p w:rsidR="002E24ED" w:rsidRDefault="002E24ED" w:rsidP="007260E9">
      <w:pPr>
        <w:pStyle w:val="ListParagraph"/>
        <w:numPr>
          <w:ilvl w:val="0"/>
          <w:numId w:val="7"/>
        </w:numPr>
      </w:pPr>
      <w:r>
        <w:t>Loss of load probability (LOLP)</w:t>
      </w:r>
    </w:p>
    <w:p w:rsidR="002E24ED" w:rsidRDefault="002E24ED" w:rsidP="007260E9">
      <w:pPr>
        <w:pStyle w:val="ListParagraph"/>
        <w:numPr>
          <w:ilvl w:val="0"/>
          <w:numId w:val="7"/>
        </w:numPr>
      </w:pPr>
      <w:r>
        <w:t>Loss of load expectation (LOLE)</w:t>
      </w:r>
    </w:p>
    <w:p w:rsidR="002E24ED" w:rsidRDefault="002E24ED" w:rsidP="007260E9">
      <w:pPr>
        <w:pStyle w:val="ListParagraph"/>
        <w:numPr>
          <w:ilvl w:val="0"/>
          <w:numId w:val="7"/>
        </w:numPr>
      </w:pPr>
      <w:r>
        <w:t>Expected Unserved Energy (EUE)</w:t>
      </w:r>
    </w:p>
    <w:p w:rsidR="007260E9" w:rsidRDefault="007260E9" w:rsidP="007260E9">
      <w:pPr>
        <w:pStyle w:val="ListParagraph"/>
        <w:numPr>
          <w:ilvl w:val="0"/>
          <w:numId w:val="7"/>
        </w:numPr>
      </w:pPr>
      <w:r>
        <w:t xml:space="preserve">Conditional Value at Risk (CVaR) </w:t>
      </w:r>
    </w:p>
    <w:p w:rsidR="002E24ED" w:rsidRDefault="002E24ED" w:rsidP="007260E9">
      <w:pPr>
        <w:pStyle w:val="ListParagraph"/>
        <w:numPr>
          <w:ilvl w:val="0"/>
          <w:numId w:val="7"/>
        </w:numPr>
      </w:pPr>
      <w:r>
        <w:t>Contingency Resource Usage Probability (CRUP)</w:t>
      </w:r>
    </w:p>
    <w:p w:rsidR="002E24ED" w:rsidRDefault="002E24ED" w:rsidP="002E24ED"/>
    <w:p w:rsidR="002E24ED" w:rsidRDefault="002E24ED" w:rsidP="002E24ED">
      <w:r>
        <w:t>All of the above measures are related and can be calculated for</w:t>
      </w:r>
      <w:r w:rsidR="00787C1D">
        <w:t xml:space="preserve"> any particular power supply.  </w:t>
      </w:r>
      <w:r>
        <w:t xml:space="preserve">We could choose any of the above metrics for our adequacy standard. The </w:t>
      </w:r>
      <w:r w:rsidR="00787C1D">
        <w:t>goal</w:t>
      </w:r>
      <w:r>
        <w:t xml:space="preserve"> is to choose one that provides the best information and is of most help to resource planners.  We need to be cautious because while these metrics are dependent to each other, they may not be related in a linear fashion.  </w:t>
      </w:r>
      <w:r w:rsidR="00787C1D">
        <w:t>It is possible, f</w:t>
      </w:r>
      <w:r>
        <w:t xml:space="preserve">or example, </w:t>
      </w:r>
      <w:r w:rsidR="00787C1D">
        <w:t xml:space="preserve">for </w:t>
      </w:r>
      <w:r>
        <w:t xml:space="preserve">two separate power supplies </w:t>
      </w:r>
      <w:r w:rsidR="00787C1D">
        <w:t>to</w:t>
      </w:r>
      <w:r>
        <w:t xml:space="preserve"> each have a 5 percent LOLP but different CVaR values. </w:t>
      </w:r>
      <w:r w:rsidR="007260E9">
        <w:t xml:space="preserve"> </w:t>
      </w:r>
      <w:r w:rsidR="00787C1D">
        <w:t>The metrics listed above are briefly defined below.</w:t>
      </w:r>
    </w:p>
    <w:p w:rsidR="002E24ED" w:rsidRDefault="002E24ED" w:rsidP="007260E9"/>
    <w:p w:rsidR="0060354F" w:rsidRPr="0060354F" w:rsidRDefault="0060354F" w:rsidP="007260E9">
      <w:pPr>
        <w:rPr>
          <w:i/>
        </w:rPr>
      </w:pPr>
      <w:r w:rsidRPr="0060354F">
        <w:rPr>
          <w:i/>
        </w:rPr>
        <w:t>Loss of Load Probability</w:t>
      </w:r>
      <w:r w:rsidR="006C73CD">
        <w:rPr>
          <w:i/>
        </w:rPr>
        <w:t xml:space="preserve"> (percent)</w:t>
      </w:r>
    </w:p>
    <w:p w:rsidR="0060354F" w:rsidRDefault="0060354F" w:rsidP="007260E9"/>
    <w:p w:rsidR="00450552" w:rsidRDefault="0060354F" w:rsidP="007260E9">
      <w:r w:rsidRPr="0060354F">
        <w:t xml:space="preserve">Loss of Load Probability </w:t>
      </w:r>
      <w:r w:rsidR="00787C1D">
        <w:t>(</w:t>
      </w:r>
      <w:r w:rsidRPr="0060354F">
        <w:t>LOLP</w:t>
      </w:r>
      <w:r w:rsidR="00787C1D">
        <w:t>) and its cousin, Loss of Load Expectation (LOLE), are</w:t>
      </w:r>
      <w:r w:rsidRPr="0060354F">
        <w:t xml:space="preserve"> </w:t>
      </w:r>
      <w:r w:rsidR="00787C1D">
        <w:t>the most commonly used adequacy metrics</w:t>
      </w:r>
      <w:r w:rsidR="006C73CD">
        <w:t xml:space="preserve"> in the United States</w:t>
      </w:r>
      <w:r w:rsidR="00787C1D">
        <w:t xml:space="preserve">.  The Forum defines </w:t>
      </w:r>
      <w:r w:rsidRPr="0060354F">
        <w:t xml:space="preserve">LOLP </w:t>
      </w:r>
      <w:r w:rsidR="00F957A6">
        <w:t xml:space="preserve">as the probability </w:t>
      </w:r>
      <w:r w:rsidR="00787C1D">
        <w:t xml:space="preserve">of </w:t>
      </w:r>
      <w:r w:rsidR="00A76E9C">
        <w:t xml:space="preserve">failure to meet load at least once </w:t>
      </w:r>
      <w:r w:rsidR="00787C1D">
        <w:t xml:space="preserve">over the period being assessed.  </w:t>
      </w:r>
      <w:r w:rsidR="00A76E9C">
        <w:t>If the period being assessed is a year, then</w:t>
      </w:r>
      <w:r w:rsidR="00F957A6">
        <w:t xml:space="preserve"> a 5 percent LOLP means there is a 5 percent chance of having at least one shortfall during that year</w:t>
      </w:r>
      <w:r w:rsidR="00F957A6">
        <w:rPr>
          <w:rStyle w:val="FootnoteReference"/>
        </w:rPr>
        <w:footnoteReference w:id="3"/>
      </w:r>
      <w:r w:rsidR="00F957A6">
        <w:t xml:space="preserve">.  </w:t>
      </w:r>
      <w:r w:rsidR="00787C1D">
        <w:t xml:space="preserve">In Monte Carlo </w:t>
      </w:r>
      <w:r w:rsidR="006C73CD">
        <w:t xml:space="preserve">modeling </w:t>
      </w:r>
      <w:r w:rsidR="00787C1D">
        <w:t>terms, LOLP is defined as the number of simulations (or games) in which a</w:t>
      </w:r>
      <w:r w:rsidR="00F957A6">
        <w:t>t least one</w:t>
      </w:r>
      <w:r w:rsidR="00787C1D">
        <w:t xml:space="preserve"> </w:t>
      </w:r>
      <w:r w:rsidR="00B31D8C">
        <w:t xml:space="preserve">shortfall </w:t>
      </w:r>
      <w:r w:rsidR="00787C1D">
        <w:t>event occurs divided by th</w:t>
      </w:r>
      <w:r w:rsidR="00F957A6">
        <w:t xml:space="preserve">e total number of simulations. </w:t>
      </w:r>
      <w:r w:rsidR="00450552">
        <w:t xml:space="preserve"> LOLP does not incorporate the size of curtailment.  </w:t>
      </w:r>
    </w:p>
    <w:p w:rsidR="00787C1D" w:rsidRDefault="00787C1D" w:rsidP="007260E9"/>
    <w:p w:rsidR="0060354F" w:rsidRPr="0060354F" w:rsidRDefault="0060354F" w:rsidP="0060354F">
      <w:pPr>
        <w:rPr>
          <w:i/>
        </w:rPr>
      </w:pPr>
      <w:r w:rsidRPr="0060354F">
        <w:rPr>
          <w:i/>
        </w:rPr>
        <w:t>Loss of Load Expectation</w:t>
      </w:r>
      <w:r w:rsidR="006C73CD">
        <w:rPr>
          <w:i/>
        </w:rPr>
        <w:t xml:space="preserve"> (days/year)</w:t>
      </w:r>
    </w:p>
    <w:p w:rsidR="0060354F" w:rsidRDefault="0060354F" w:rsidP="0060354F"/>
    <w:p w:rsidR="00BE1483" w:rsidRDefault="00450552" w:rsidP="0060354F">
      <w:r>
        <w:t xml:space="preserve">Some Forum members have criticized the use of the LOLP metric because it does not count multiple events per year, which leads us to the definition of loss of load expectation.  </w:t>
      </w:r>
      <w:r w:rsidR="0060354F" w:rsidRPr="0060354F">
        <w:t>Loss of Load Expect</w:t>
      </w:r>
      <w:r w:rsidR="006C73CD">
        <w:t>ation</w:t>
      </w:r>
      <w:r w:rsidR="00E44741">
        <w:t xml:space="preserve"> (LOLE)</w:t>
      </w:r>
      <w:r w:rsidR="006C73CD">
        <w:t xml:space="preserve"> is </w:t>
      </w:r>
      <w:r w:rsidR="00BE1483">
        <w:t xml:space="preserve">generically </w:t>
      </w:r>
      <w:r w:rsidR="006C73CD">
        <w:t xml:space="preserve">defined as the </w:t>
      </w:r>
      <w:r>
        <w:t xml:space="preserve">expected </w:t>
      </w:r>
      <w:r w:rsidR="00BE1483">
        <w:t xml:space="preserve">number of shortfall events per period of time. For most US regions, utilities are concerned with single-hour peak shortfalls.  Thus, they would likely count the number of days in which a shortfall occurs divided by the total number of years they examined. </w:t>
      </w:r>
      <w:r>
        <w:t xml:space="preserve">A </w:t>
      </w:r>
      <w:r>
        <w:lastRenderedPageBreak/>
        <w:t xml:space="preserve">commonly used threshold for adequacy is 1 day in 10 years. This means that over a ten year period, they would expect only one day in which a shortfall would occur.  </w:t>
      </w:r>
    </w:p>
    <w:p w:rsidR="00BE1483" w:rsidRDefault="00BE1483" w:rsidP="0060354F"/>
    <w:p w:rsidR="0060354F" w:rsidRDefault="00450552" w:rsidP="0060354F">
      <w:r>
        <w:t>For a Monte Carlo simulation, a</w:t>
      </w:r>
      <w:r w:rsidR="0060354F" w:rsidRPr="0060354F">
        <w:t xml:space="preserve"> system that exactly satisfies the </w:t>
      </w:r>
      <w:r>
        <w:t>threshold</w:t>
      </w:r>
      <w:r w:rsidR="0060354F" w:rsidRPr="0060354F">
        <w:t xml:space="preserve"> of 1 day in 10 years </w:t>
      </w:r>
      <w:r>
        <w:t>would show</w:t>
      </w:r>
      <w:r w:rsidR="0060354F" w:rsidRPr="0060354F">
        <w:t xml:space="preserve"> </w:t>
      </w:r>
      <w:r>
        <w:t>shortfalls</w:t>
      </w:r>
      <w:r w:rsidR="0060354F" w:rsidRPr="0060354F">
        <w:t xml:space="preserve"> in 100 days out of a</w:t>
      </w:r>
      <w:r>
        <w:t xml:space="preserve"> </w:t>
      </w:r>
      <w:r w:rsidR="0060354F" w:rsidRPr="0060354F">
        <w:t>1000 simulati</w:t>
      </w:r>
      <w:r>
        <w:t>on</w:t>
      </w:r>
      <w:r w:rsidR="00E5614B">
        <w:t xml:space="preserve">s of a </w:t>
      </w:r>
      <w:r>
        <w:t xml:space="preserve">10-year </w:t>
      </w:r>
      <w:r w:rsidR="00E44741">
        <w:t>period</w:t>
      </w:r>
      <w:r>
        <w:t>.  Because some utilities are now reducing their study horizons to a single year, they equate a 1 day in 10 year threshold to a 0.1 day per year or 2.4 hours per year</w:t>
      </w:r>
      <w:r w:rsidR="00E5614B">
        <w:t xml:space="preserve"> </w:t>
      </w:r>
      <w:r>
        <w:t xml:space="preserve">threshold.  </w:t>
      </w:r>
      <w:r w:rsidR="00E44741">
        <w:t xml:space="preserve">This metric captures the potential for multiple shortfalls per year but like the LOLP does not incorporate size of curtailment. </w:t>
      </w:r>
      <w:r>
        <w:t xml:space="preserve"> </w:t>
      </w:r>
    </w:p>
    <w:p w:rsidR="0060354F" w:rsidRDefault="0060354F" w:rsidP="0060354F"/>
    <w:p w:rsidR="0060354F" w:rsidRPr="0060354F" w:rsidRDefault="0060354F" w:rsidP="0060354F">
      <w:pPr>
        <w:rPr>
          <w:i/>
        </w:rPr>
      </w:pPr>
      <w:r w:rsidRPr="0060354F">
        <w:rPr>
          <w:i/>
        </w:rPr>
        <w:t>Expected Unserved Load</w:t>
      </w:r>
      <w:r w:rsidR="00E66935">
        <w:rPr>
          <w:i/>
        </w:rPr>
        <w:t xml:space="preserve"> (megawatt-hours</w:t>
      </w:r>
      <w:r w:rsidR="006C73CD">
        <w:rPr>
          <w:i/>
        </w:rPr>
        <w:t>)</w:t>
      </w:r>
    </w:p>
    <w:p w:rsidR="0060354F" w:rsidRDefault="0060354F" w:rsidP="0060354F"/>
    <w:p w:rsidR="0060354F" w:rsidRPr="0060354F" w:rsidRDefault="0060354F" w:rsidP="0060354F">
      <w:r w:rsidRPr="0060354F">
        <w:t xml:space="preserve">Expected Unserved Energy </w:t>
      </w:r>
      <w:r w:rsidR="00E44741">
        <w:t>(</w:t>
      </w:r>
      <w:r w:rsidRPr="0060354F">
        <w:t>EUE</w:t>
      </w:r>
      <w:r w:rsidR="00E44741">
        <w:t>)</w:t>
      </w:r>
      <w:r w:rsidRPr="0060354F">
        <w:t xml:space="preserve"> is typically </w:t>
      </w:r>
      <w:r w:rsidR="00450552" w:rsidRPr="0060354F">
        <w:t>synonymous</w:t>
      </w:r>
      <w:r w:rsidRPr="0060354F">
        <w:t xml:space="preserve"> with </w:t>
      </w:r>
      <w:r w:rsidR="00E66935">
        <w:t xml:space="preserve">Expected </w:t>
      </w:r>
      <w:r w:rsidRPr="0060354F">
        <w:t xml:space="preserve">Energy Not Served </w:t>
      </w:r>
      <w:r w:rsidR="00E44741">
        <w:t>(</w:t>
      </w:r>
      <w:r w:rsidR="00E66935">
        <w:t>E</w:t>
      </w:r>
      <w:r w:rsidRPr="0060354F">
        <w:t>ENS</w:t>
      </w:r>
      <w:r w:rsidR="00E44741">
        <w:t xml:space="preserve">) and is </w:t>
      </w:r>
      <w:r w:rsidRPr="0060354F">
        <w:t xml:space="preserve">measured in </w:t>
      </w:r>
      <w:r w:rsidR="00E44741">
        <w:t xml:space="preserve">megawatt-hours.  It </w:t>
      </w:r>
      <w:r w:rsidR="00E66935">
        <w:t xml:space="preserve">is most commonly defined as the expected amount of unserved energy per </w:t>
      </w:r>
      <w:r w:rsidR="00405E81">
        <w:t>year.  In a Monte Carlo simulation, it is calculated by summing up all unserved energy</w:t>
      </w:r>
      <w:r w:rsidR="009C5EDD">
        <w:t xml:space="preserve"> over each hour of the year</w:t>
      </w:r>
      <w:r w:rsidR="00405E81">
        <w:t xml:space="preserve"> and dividing by the number of years simulated.  It can also be defined as the expected amount of unserved energy per hour.  In either case, a normalized version is often calculated, which divides the EUE in megawatt-hours by the expected load yielding an expected percent of unserved energy.  This metric provides a sense for the size of the problem but does not </w:t>
      </w:r>
      <w:r w:rsidR="008005AB">
        <w:t xml:space="preserve">convey any information regarding the probability.  </w:t>
      </w:r>
      <w:r w:rsidR="00E66935">
        <w:t xml:space="preserve"> </w:t>
      </w:r>
      <w:r w:rsidR="00E44741">
        <w:t xml:space="preserve"> </w:t>
      </w:r>
      <w:r w:rsidRPr="0060354F">
        <w:t xml:space="preserve"> </w:t>
      </w:r>
    </w:p>
    <w:p w:rsidR="0060354F" w:rsidRPr="0060354F" w:rsidRDefault="0060354F" w:rsidP="0060354F"/>
    <w:p w:rsidR="00E77EB7" w:rsidRPr="00545A09" w:rsidRDefault="006C73CD" w:rsidP="00E77EB7">
      <w:pPr>
        <w:rPr>
          <w:i/>
        </w:rPr>
      </w:pPr>
      <w:r>
        <w:rPr>
          <w:i/>
        </w:rPr>
        <w:t>Conditional Value at Risk (megawatt-hours)</w:t>
      </w:r>
    </w:p>
    <w:p w:rsidR="00E77EB7" w:rsidRDefault="00E77EB7" w:rsidP="00E77EB7">
      <w:pPr>
        <w:shd w:val="clear" w:color="auto" w:fill="FFFFFF"/>
      </w:pPr>
    </w:p>
    <w:p w:rsidR="00173FC0" w:rsidRDefault="00173FC0" w:rsidP="00E77EB7">
      <w:pPr>
        <w:shd w:val="clear" w:color="auto" w:fill="FFFFFF"/>
      </w:pPr>
      <w:r>
        <w:t xml:space="preserve">One way to capture both the </w:t>
      </w:r>
      <w:r w:rsidR="00E77EB7">
        <w:t xml:space="preserve">size </w:t>
      </w:r>
      <w:r>
        <w:t xml:space="preserve">and the likelihood </w:t>
      </w:r>
      <w:r w:rsidR="00E77EB7">
        <w:t xml:space="preserve">of potential problems is to calculate the </w:t>
      </w:r>
      <w:r>
        <w:t>expected</w:t>
      </w:r>
      <w:r w:rsidR="00E77EB7">
        <w:t xml:space="preserve"> </w:t>
      </w:r>
      <w:r>
        <w:t>unserved energy (like the EUE) but only</w:t>
      </w:r>
      <w:r w:rsidR="00E77EB7">
        <w:t xml:space="preserve"> for the worst cases (based on a Monte Carlo simulation).  This particular metric is referred to as the Conditional Value at Risk</w:t>
      </w:r>
      <w:r>
        <w:t xml:space="preserve"> and measures the expected size of curtailment for the worst simulated cases</w:t>
      </w:r>
      <w:r w:rsidR="00E77EB7">
        <w:t xml:space="preserve">.  The </w:t>
      </w:r>
      <w:r>
        <w:t>number</w:t>
      </w:r>
      <w:r w:rsidR="00E77EB7">
        <w:t xml:space="preserve"> of </w:t>
      </w:r>
      <w:r>
        <w:t>“</w:t>
      </w:r>
      <w:r w:rsidR="00E77EB7">
        <w:t>worst</w:t>
      </w:r>
      <w:r>
        <w:t>”</w:t>
      </w:r>
      <w:r w:rsidR="00E77EB7">
        <w:t xml:space="preserve"> cases to </w:t>
      </w:r>
      <w:r>
        <w:t>count</w:t>
      </w:r>
      <w:r w:rsidR="00E77EB7">
        <w:t xml:space="preserve"> is variable but 5 percent is commonly used.  In that case, the metric would be labeled CVaR95.  </w:t>
      </w:r>
    </w:p>
    <w:p w:rsidR="00173FC0" w:rsidRDefault="00173FC0" w:rsidP="00E77EB7">
      <w:pPr>
        <w:shd w:val="clear" w:color="auto" w:fill="FFFFFF"/>
      </w:pPr>
    </w:p>
    <w:p w:rsidR="00E77EB7" w:rsidRDefault="00E77EB7" w:rsidP="00E77EB7">
      <w:pPr>
        <w:shd w:val="clear" w:color="auto" w:fill="FFFFFF"/>
      </w:pPr>
      <w:r>
        <w:t xml:space="preserve">This metric </w:t>
      </w:r>
      <w:r w:rsidR="00173FC0">
        <w:t>can</w:t>
      </w:r>
      <w:r>
        <w:t xml:space="preserve"> be assessed for both energy and </w:t>
      </w:r>
      <w:r w:rsidR="00173FC0">
        <w:t>peak</w:t>
      </w:r>
      <w:r>
        <w:t xml:space="preserve"> analyses.  For example, the peak CVaR95 metric is </w:t>
      </w:r>
      <w:r w:rsidR="00173FC0">
        <w:t xml:space="preserve">defined as </w:t>
      </w:r>
      <w:r>
        <w:t xml:space="preserve">the </w:t>
      </w:r>
      <w:r w:rsidR="00173FC0">
        <w:t>expected</w:t>
      </w:r>
      <w:r>
        <w:t xml:space="preserve"> single-hour peak curtailment </w:t>
      </w:r>
      <w:r w:rsidR="00173FC0">
        <w:t xml:space="preserve">for the </w:t>
      </w:r>
      <w:r>
        <w:t xml:space="preserve">5 percent worst cases.  It is calculated by adding up the single-hour peak curtailment from each of the worst </w:t>
      </w:r>
      <w:r w:rsidR="00173FC0">
        <w:t>cases</w:t>
      </w:r>
      <w:r>
        <w:t xml:space="preserve"> and dividing by the </w:t>
      </w:r>
      <w:r w:rsidRPr="00A340DD">
        <w:t xml:space="preserve">number of simulations </w:t>
      </w:r>
      <w:r>
        <w:t xml:space="preserve">in the worst cases.   </w:t>
      </w:r>
    </w:p>
    <w:p w:rsidR="00E77EB7" w:rsidRDefault="00E77EB7" w:rsidP="00E77EB7">
      <w:pPr>
        <w:shd w:val="clear" w:color="auto" w:fill="FFFFFF"/>
      </w:pPr>
    </w:p>
    <w:p w:rsidR="008A5B73" w:rsidRDefault="00E77EB7" w:rsidP="00E77EB7">
      <w:pPr>
        <w:shd w:val="clear" w:color="auto" w:fill="FFFFFF"/>
      </w:pPr>
      <w:r>
        <w:t xml:space="preserve">The energy CVaR95 metric can be calculated in at least two ways.  The most conventional way to calculate it is to add up the total curtailed energy (in megawatt hours) over the entire year for the 5 percent worst (highest curtailment) years and then dividing by the number of simulations in the </w:t>
      </w:r>
      <w:r w:rsidR="00117731">
        <w:t xml:space="preserve">5 percent </w:t>
      </w:r>
      <w:r>
        <w:t>worst cases.  A second way to assess the energy CVaR95 metric is to examine only the highest magnitude event</w:t>
      </w:r>
      <w:r w:rsidR="00117731">
        <w:t xml:space="preserve"> per year</w:t>
      </w:r>
      <w:r>
        <w:t xml:space="preserve"> (an event begins with a curtailment and ends when the curtailment goes away). In this case, the simulations are sorted by the highest magnitude event during the year.  Th</w:t>
      </w:r>
      <w:r w:rsidR="00117731">
        <w:t>is version of the energy</w:t>
      </w:r>
      <w:r>
        <w:t xml:space="preserve"> CVaR95 metric is </w:t>
      </w:r>
      <w:r w:rsidR="00117731">
        <w:t xml:space="preserve">then </w:t>
      </w:r>
      <w:r>
        <w:t>calculated by adding up the magnitudes (in megawatt hours) of the 5 percent worst events (in separate simulations) and dividing by the total number of simulations in the worst 5 percent of the cases.</w:t>
      </w:r>
      <w:r w:rsidR="00117731">
        <w:t xml:space="preserve">  This second approach </w:t>
      </w:r>
      <w:r w:rsidR="00117731">
        <w:lastRenderedPageBreak/>
        <w:t xml:space="preserve">to calculating energy CVaR95 represents the expected size of the 5 percent worst curtailment events and may be more helpful to planners, in terms of developing solutions. </w:t>
      </w:r>
      <w:r>
        <w:t xml:space="preserve"> </w:t>
      </w:r>
    </w:p>
    <w:p w:rsidR="008A5B73" w:rsidRDefault="008A5B73" w:rsidP="00E77EB7">
      <w:pPr>
        <w:shd w:val="clear" w:color="auto" w:fill="FFFFFF"/>
      </w:pPr>
    </w:p>
    <w:p w:rsidR="00E77EB7" w:rsidRDefault="008A5B73" w:rsidP="00E77EB7">
      <w:pPr>
        <w:shd w:val="clear" w:color="auto" w:fill="FFFFFF"/>
      </w:pPr>
      <w:r>
        <w:t xml:space="preserve">It should also be noted that CVaR metrics have nice mathematical characteristics, which would allow planners to incorporate adequacy standards more directly into their integrated planning tools.  For the Council, the CVaR95 metric and threshold could conceivably be incorporated directly into the Regional Portfolio Model, thus ensuring that adequacy will be considered explicitly during the development of resource strategies.   </w:t>
      </w:r>
      <w:r w:rsidR="00E77EB7">
        <w:t xml:space="preserve">  </w:t>
      </w:r>
    </w:p>
    <w:p w:rsidR="00E77EB7" w:rsidRDefault="00E77EB7" w:rsidP="00E77EB7"/>
    <w:p w:rsidR="00E77EB7" w:rsidRPr="00545A09" w:rsidRDefault="00AD7FE5" w:rsidP="00E77EB7">
      <w:pPr>
        <w:rPr>
          <w:i/>
        </w:rPr>
      </w:pPr>
      <w:r>
        <w:rPr>
          <w:i/>
        </w:rPr>
        <w:t xml:space="preserve">Contingency </w:t>
      </w:r>
      <w:r w:rsidR="006C73CD">
        <w:rPr>
          <w:i/>
        </w:rPr>
        <w:t>Resource Usage Probability (percent</w:t>
      </w:r>
      <w:r>
        <w:rPr>
          <w:i/>
        </w:rPr>
        <w:t>)</w:t>
      </w:r>
    </w:p>
    <w:p w:rsidR="00E77EB7" w:rsidRDefault="00E77EB7" w:rsidP="00E77EB7"/>
    <w:p w:rsidR="00D57FF1" w:rsidRDefault="00E77EB7" w:rsidP="00E77EB7">
      <w:r>
        <w:t xml:space="preserve">The </w:t>
      </w:r>
      <w:r w:rsidR="00D57FF1">
        <w:t>Contingency Resource Usage P</w:t>
      </w:r>
      <w:r>
        <w:t>robability</w:t>
      </w:r>
      <w:r w:rsidR="00D57FF1">
        <w:t xml:space="preserve"> (CRUP</w:t>
      </w:r>
      <w:r>
        <w:t>) is simply the probability that emergency resources will be dispatched</w:t>
      </w:r>
      <w:r w:rsidR="00D57FF1">
        <w:t xml:space="preserve"> over the time period being examined</w:t>
      </w:r>
      <w:r>
        <w:t xml:space="preserve">.  </w:t>
      </w:r>
      <w:r w:rsidR="00D57FF1">
        <w:t xml:space="preserve">It is calculated by dividing the number of games in which a contingency resource was dispatched by the total number of simulations.  CRUP can also be calculated separately by month or by season, if that becomes important for utilities with seasonally varying resources (such as hydro).  </w:t>
      </w:r>
    </w:p>
    <w:p w:rsidR="00D57FF1" w:rsidRDefault="00D57FF1" w:rsidP="00E77EB7"/>
    <w:p w:rsidR="00E77EB7" w:rsidRDefault="00E77EB7" w:rsidP="00E77EB7">
      <w:r>
        <w:t xml:space="preserve">The CRUP value for key emergency resources can be calculated and provided as additional information when assessing the adequacy of the power supply.  This information may show that, even in cases when the power supply is deemed to be adequate (i.e. LOLP less than 5 percent), the use of emergency resources </w:t>
      </w:r>
      <w:r w:rsidR="00D57FF1">
        <w:t>may</w:t>
      </w:r>
      <w:r>
        <w:t xml:space="preserve"> be higher than operators are willing to accept.  Such </w:t>
      </w:r>
      <w:r w:rsidR="00AE7461">
        <w:t>situations</w:t>
      </w:r>
      <w:r>
        <w:t xml:space="preserve"> are likely to lead resource planners to </w:t>
      </w:r>
      <w:r w:rsidR="00AE7461">
        <w:t xml:space="preserve">consider </w:t>
      </w:r>
      <w:r>
        <w:t>add</w:t>
      </w:r>
      <w:r w:rsidR="00AE7461">
        <w:t>ing</w:t>
      </w:r>
      <w:r>
        <w:t xml:space="preserve"> more supply to the power system.  In this perspective, the CRUP becomes an indicator of operator “stress</w:t>
      </w:r>
      <w:r w:rsidR="00AE7461">
        <w:t>.</w:t>
      </w:r>
      <w:r>
        <w:t xml:space="preserve">” </w:t>
      </w:r>
      <w:r w:rsidR="00AE7461">
        <w:t xml:space="preserve"> It may even </w:t>
      </w:r>
      <w:r>
        <w:t>be considered as a surrogate for an “economic” threshold</w:t>
      </w:r>
      <w:r w:rsidR="00AE7461">
        <w:t xml:space="preserve"> since excessive use of contingency resources is presumably more costly in the long run than building new resources.</w:t>
      </w:r>
      <w:r>
        <w:t xml:space="preserve">  </w:t>
      </w:r>
    </w:p>
    <w:p w:rsidR="00E77EB7" w:rsidRDefault="00E77EB7" w:rsidP="00E77EB7"/>
    <w:p w:rsidR="00E77EB7" w:rsidRDefault="00AE7461" w:rsidP="00E77EB7">
      <w:r>
        <w:t xml:space="preserve">Setting the threshold for CRUP will be left to utility operators who have firsthand experience with implementing emergency actions.  </w:t>
      </w:r>
      <w:r w:rsidR="00E77EB7">
        <w:t xml:space="preserve">For example, a utility may have the option to dispatch a hospital backup generator but may not want to </w:t>
      </w:r>
      <w:r>
        <w:t xml:space="preserve">exercise </w:t>
      </w:r>
      <w:r w:rsidR="00E77EB7">
        <w:t xml:space="preserve">that option more than once every ten years. Thus, the CRUP </w:t>
      </w:r>
      <w:r>
        <w:t xml:space="preserve">threshold </w:t>
      </w:r>
      <w:r w:rsidR="00CD155D">
        <w:t>for</w:t>
      </w:r>
      <w:r>
        <w:t xml:space="preserve"> that utility would be </w:t>
      </w:r>
      <w:r w:rsidR="00E77EB7">
        <w:t xml:space="preserve">10 </w:t>
      </w:r>
      <w:r>
        <w:t xml:space="preserve">percent.  </w:t>
      </w:r>
      <w:r w:rsidR="00CD155D">
        <w:t>If its</w:t>
      </w:r>
      <w:r>
        <w:t xml:space="preserve"> </w:t>
      </w:r>
      <w:r w:rsidR="00E77EB7">
        <w:t xml:space="preserve">CRUP value </w:t>
      </w:r>
      <w:r w:rsidR="00CD155D">
        <w:t>grows h</w:t>
      </w:r>
      <w:r w:rsidR="00E77EB7">
        <w:t xml:space="preserve">igher than 10 percent, it means that </w:t>
      </w:r>
      <w:r w:rsidR="00CD155D">
        <w:t>its</w:t>
      </w:r>
      <w:r w:rsidR="00E77EB7">
        <w:t xml:space="preserve"> power supply, while potentially physically adequate, </w:t>
      </w:r>
      <w:r>
        <w:t>may not be economical</w:t>
      </w:r>
      <w:r w:rsidR="00CD155D">
        <w:t xml:space="preserve"> for that utility</w:t>
      </w:r>
      <w:r>
        <w:t xml:space="preserve">.  </w:t>
      </w:r>
      <w:r w:rsidR="00E77EB7">
        <w:t xml:space="preserve"> </w:t>
      </w:r>
    </w:p>
    <w:p w:rsidR="00E77EB7" w:rsidRDefault="00E77EB7" w:rsidP="00E77EB7"/>
    <w:p w:rsidR="0049542A" w:rsidRPr="00042BD8" w:rsidRDefault="00787C1D" w:rsidP="00E90830">
      <w:pPr>
        <w:rPr>
          <w:b/>
        </w:rPr>
      </w:pPr>
      <w:r>
        <w:rPr>
          <w:b/>
        </w:rPr>
        <w:t xml:space="preserve">Viable Options for a </w:t>
      </w:r>
      <w:r w:rsidR="00042BD8" w:rsidRPr="00042BD8">
        <w:rPr>
          <w:b/>
        </w:rPr>
        <w:t xml:space="preserve">New Standard </w:t>
      </w:r>
      <w:r w:rsidR="0059346E" w:rsidRPr="00042BD8">
        <w:rPr>
          <w:b/>
        </w:rPr>
        <w:t xml:space="preserve">  </w:t>
      </w:r>
    </w:p>
    <w:p w:rsidR="002E0D2A" w:rsidRDefault="002E0D2A" w:rsidP="00E90830"/>
    <w:p w:rsidR="00CD155D" w:rsidRDefault="00CD155D" w:rsidP="00E90830">
      <w:r>
        <w:t xml:space="preserve">In a way, the Forum has a simple decision to make. The general consensus seems to be that adding more information to the adequacy standard is a good thing. The real question for the Forum is whether the adequacy </w:t>
      </w:r>
      <w:r w:rsidRPr="009C5EDD">
        <w:rPr>
          <w:i/>
        </w:rPr>
        <w:t>level</w:t>
      </w:r>
      <w:r>
        <w:t xml:space="preserve">, defined by the standard, should change.  </w:t>
      </w:r>
    </w:p>
    <w:p w:rsidR="00CD155D" w:rsidRDefault="00CD155D" w:rsidP="00E90830"/>
    <w:p w:rsidR="00545A09" w:rsidRDefault="00CD155D" w:rsidP="00E90830">
      <w:r>
        <w:t>Keeping this in mind, it appears that options 2 or 4 (briefly described in the summary section) are the only viable options for the Forum.  Option 1 (no change) should not be considered. Option 3, which keeps the same adequacy level but changes the metric, is really a lot</w:t>
      </w:r>
      <w:r w:rsidR="00A14657">
        <w:t xml:space="preserve"> of work for nothing.  There seems to be no benefit to debating a change in the </w:t>
      </w:r>
      <w:r w:rsidR="00A14657">
        <w:lastRenderedPageBreak/>
        <w:t xml:space="preserve">metric when, in the end, the adequacy level will essentially stay the same – and alternative metrics will be measured anyway. </w:t>
      </w:r>
      <w:r>
        <w:t xml:space="preserve">  </w:t>
      </w:r>
    </w:p>
    <w:p w:rsidR="00CD155D" w:rsidRDefault="00CD155D" w:rsidP="00E90830"/>
    <w:p w:rsidR="008C398D" w:rsidRDefault="00A14657" w:rsidP="00E90830">
      <w:r>
        <w:t xml:space="preserve">Thus, we are left with options 2 and 4.  Option 2 </w:t>
      </w:r>
      <w:r w:rsidR="007C74AE">
        <w:t>keep</w:t>
      </w:r>
      <w:r>
        <w:t xml:space="preserve">s </w:t>
      </w:r>
      <w:r w:rsidR="007C74AE">
        <w:t>LOLP</w:t>
      </w:r>
      <w:r>
        <w:t xml:space="preserve"> as the metric of choice and maintains the 5 percent threshold.  It</w:t>
      </w:r>
      <w:r w:rsidR="00545A09">
        <w:t xml:space="preserve"> sets a 5 percent LOLP limit for winter energy, winter capacity and summer capacity.  </w:t>
      </w:r>
      <w:r w:rsidR="0016629B">
        <w:t>(</w:t>
      </w:r>
      <w:r w:rsidR="00545A09">
        <w:t>The technical committee has already suggested adding a limit for summer energy LOLP</w:t>
      </w:r>
      <w:r w:rsidR="0016629B">
        <w:t xml:space="preserve">, </w:t>
      </w:r>
      <w:r w:rsidR="009645AE">
        <w:t xml:space="preserve">thus </w:t>
      </w:r>
      <w:r w:rsidR="0016629B">
        <w:t>making 4 values to calculate)</w:t>
      </w:r>
      <w:r w:rsidR="00545A09">
        <w:t xml:space="preserve">. </w:t>
      </w:r>
      <w:r>
        <w:t xml:space="preserve"> </w:t>
      </w:r>
      <w:r w:rsidR="00545A09">
        <w:t>However, the peer review</w:t>
      </w:r>
      <w:r w:rsidR="009645AE">
        <w:t xml:space="preserve"> </w:t>
      </w:r>
      <w:r w:rsidR="008C398D">
        <w:t>reported that</w:t>
      </w:r>
      <w:r w:rsidR="009645AE">
        <w:t xml:space="preserve"> </w:t>
      </w:r>
      <w:r w:rsidR="00545A09">
        <w:t xml:space="preserve">there should be no </w:t>
      </w:r>
      <w:r w:rsidR="0016629B">
        <w:t xml:space="preserve">need to assess </w:t>
      </w:r>
      <w:r w:rsidR="009645AE">
        <w:t xml:space="preserve">seasonal </w:t>
      </w:r>
      <w:r w:rsidR="0016629B">
        <w:t xml:space="preserve">LOLP </w:t>
      </w:r>
      <w:r w:rsidR="009645AE">
        <w:t xml:space="preserve">separately. It suggested analyzing every month and calculating a single LOLP for energy and a single LOLP for capacity.  When the LOLP for either energy or capacity exceeds the 5 percent threshold, both the timing (month) and magnitude of the </w:t>
      </w:r>
      <w:r w:rsidR="008C398D">
        <w:t>largest curtailment event</w:t>
      </w:r>
      <w:r w:rsidR="005D2A28">
        <w:t xml:space="preserve"> can be extracted from the analysis</w:t>
      </w:r>
      <w:r w:rsidR="009645AE">
        <w:t>.</w:t>
      </w:r>
      <w:r w:rsidR="008C398D">
        <w:t xml:space="preserve"> Taking actions to eliminate the largest event (i.e. reducing the LOLP to a value less than 5 percent) will also likely eliminate smaller curtailment events. </w:t>
      </w:r>
    </w:p>
    <w:p w:rsidR="00A14657" w:rsidRDefault="00A14657" w:rsidP="00E90830"/>
    <w:p w:rsidR="005D2A28" w:rsidRDefault="00A14657" w:rsidP="00E90830">
      <w:r>
        <w:t>Whether the Forum decides to keep the seasonal assessment or to move to an annual assessment, this option continues to portray the standard as an “early warning system.”  But it does recommend add</w:t>
      </w:r>
      <w:r w:rsidR="005D2A28">
        <w:t>ing</w:t>
      </w:r>
      <w:r>
        <w:t xml:space="preserve"> a CVaR95 metric to measure the size of </w:t>
      </w:r>
      <w:r w:rsidR="005D2A28">
        <w:t>any potential</w:t>
      </w:r>
      <w:r>
        <w:t xml:space="preserve"> energy and capacity problems. </w:t>
      </w:r>
      <w:r w:rsidR="005D2A28">
        <w:t>It also recommends adding a metric to measure the use of contingency resources.  Both additions should prove to be very useful to utility planners.</w:t>
      </w:r>
      <w:r>
        <w:t xml:space="preserve"> </w:t>
      </w:r>
    </w:p>
    <w:p w:rsidR="008C398D" w:rsidRDefault="00A14657" w:rsidP="00E90830">
      <w:r>
        <w:t xml:space="preserve"> </w:t>
      </w:r>
    </w:p>
    <w:p w:rsidR="008A5B73" w:rsidRDefault="005D2A28" w:rsidP="00E90830">
      <w:r>
        <w:t xml:space="preserve">Adopting option 4 would change the adequacy level defined by the standard.  </w:t>
      </w:r>
      <w:r w:rsidR="005D5EF2">
        <w:t xml:space="preserve">The suggestion is to </w:t>
      </w:r>
      <w:r>
        <w:t xml:space="preserve">pre-define (based on operator experience or contractual limitations) a maximum allowable dispatch percentage for a key contingency resource.  This sets a threshold for the CRUP metric, which can then be used as a replacement for LOLP or </w:t>
      </w:r>
      <w:r w:rsidR="008A5B73">
        <w:t xml:space="preserve">can be used </w:t>
      </w:r>
      <w:r>
        <w:t xml:space="preserve">to redefine the LOLP threshold. </w:t>
      </w:r>
      <w:r w:rsidR="00AE7831">
        <w:t>In th</w:t>
      </w:r>
      <w:r w:rsidR="008A5B73">
        <w:t xml:space="preserve">e latter alternative, </w:t>
      </w:r>
      <w:r w:rsidR="00AE7831">
        <w:t xml:space="preserve">the new LOLP threshold </w:t>
      </w:r>
      <w:r w:rsidR="008A5B73">
        <w:t>would be</w:t>
      </w:r>
      <w:r w:rsidR="00AE7831">
        <w:t xml:space="preserve"> based on a </w:t>
      </w:r>
      <w:r w:rsidR="008A5B73">
        <w:t>power supply</w:t>
      </w:r>
      <w:r w:rsidR="00AE7831">
        <w:t xml:space="preserve"> that just </w:t>
      </w:r>
      <w:r w:rsidR="007826A5">
        <w:t xml:space="preserve">satisfies </w:t>
      </w:r>
      <w:r w:rsidR="00AE7831">
        <w:t xml:space="preserve">the CRUP limit.  </w:t>
      </w:r>
      <w:r w:rsidR="008A5B73">
        <w:t>In other words, if the CRUP threshold were 10 percent, analysts would “build” a power supply that just meets that limit and then use that supply to determine the resulting LOLP values. Those values would become the new LOLP thresholds that define an adequate supply. The former alternative would simply replace the LOLP metric and 5 percent threshold with the CRUP metric and its threshold.</w:t>
      </w:r>
      <w:r w:rsidR="00EA3B8B">
        <w:t xml:space="preserve">  This option also suggests adding a metric to measure the potential size of energy and capacity problems (i.e. CVaR95). </w:t>
      </w:r>
    </w:p>
    <w:p w:rsidR="008A5B73" w:rsidRDefault="008A5B73" w:rsidP="00E90830"/>
    <w:p w:rsidR="00EA3B8B" w:rsidRDefault="008A5B73" w:rsidP="00E90830">
      <w:r>
        <w:t>Adopting this option changes the nature of the adequacy standard.  It will no longer be simpl</w:t>
      </w:r>
      <w:r w:rsidR="00EA3B8B">
        <w:t xml:space="preserve">y an “early warning system” but instead will become a means to identify systems that are likely to be uneconomical for the region.  When the CRUP threshold is exceeded, it means that a key contingency resource is being dispatched more often than the region (or utility) would like it to be.  While in the short term, this might keep the lights on, in the long term, continuing to rely too heavily on a contingency resource will likely be more expensive than adding new resources.  </w:t>
      </w:r>
    </w:p>
    <w:p w:rsidR="00EA3B8B" w:rsidRDefault="00EA3B8B" w:rsidP="00E90830"/>
    <w:p w:rsidR="00AE7831" w:rsidRDefault="00AE7831" w:rsidP="00E90830">
      <w:r>
        <w:t>T</w:t>
      </w:r>
      <w:r w:rsidR="00EA3B8B">
        <w:t>h</w:t>
      </w:r>
      <w:r>
        <w:t xml:space="preserve">e advantage of this </w:t>
      </w:r>
      <w:r w:rsidR="00EA3B8B">
        <w:t>option</w:t>
      </w:r>
      <w:r>
        <w:t xml:space="preserve"> is that its results are likely to line up </w:t>
      </w:r>
      <w:r w:rsidR="00EA3B8B">
        <w:t xml:space="preserve">better </w:t>
      </w:r>
      <w:r>
        <w:t xml:space="preserve">with </w:t>
      </w:r>
      <w:r w:rsidR="00EA3B8B">
        <w:t xml:space="preserve">regional (or </w:t>
      </w:r>
      <w:r>
        <w:t>utility</w:t>
      </w:r>
      <w:r w:rsidR="00EA3B8B">
        <w:t>)</w:t>
      </w:r>
      <w:r>
        <w:t xml:space="preserve"> resource needs assessment analyses.  It should be noted, however, that even if this alternative is chosen, it </w:t>
      </w:r>
      <w:r w:rsidR="00EA3B8B">
        <w:t>should</w:t>
      </w:r>
      <w:r>
        <w:t xml:space="preserve"> still not </w:t>
      </w:r>
      <w:r w:rsidR="00EA3B8B">
        <w:t xml:space="preserve">be considered </w:t>
      </w:r>
      <w:r>
        <w:t xml:space="preserve">a substitute for more detailed integrated resource planning tools.  </w:t>
      </w:r>
    </w:p>
    <w:p w:rsidR="00AE7831" w:rsidRDefault="00AE7831" w:rsidP="00E90830"/>
    <w:p w:rsidR="00AE7831" w:rsidRPr="008A5B73" w:rsidRDefault="00AE7831" w:rsidP="00E90830">
      <w:pPr>
        <w:rPr>
          <w:b/>
        </w:rPr>
      </w:pPr>
      <w:r w:rsidRPr="008A5B73">
        <w:rPr>
          <w:b/>
        </w:rPr>
        <w:t>Translating to Deterministic Metrics</w:t>
      </w:r>
    </w:p>
    <w:p w:rsidR="00AE7831" w:rsidRDefault="00AE7831" w:rsidP="00E90830"/>
    <w:p w:rsidR="001F2000" w:rsidRDefault="00AE7831" w:rsidP="00E90830">
      <w:r>
        <w:t xml:space="preserve">The current standard defines how the </w:t>
      </w:r>
      <w:r w:rsidR="007B22BD">
        <w:t xml:space="preserve">5 percent LOLP threshold can be translated into deterministic thresholds for energy and capacity.  </w:t>
      </w:r>
      <w:r w:rsidR="001F2000">
        <w:t xml:space="preserve">These deterministic thresholds can then be used as a quick way to assess the adequacy of a power supply.  The deterministic thresholds are tied directly to a power supply with a 5 percent LOLP and would have to be recalibrated any time a change occurs in loads or resources.  </w:t>
      </w:r>
    </w:p>
    <w:p w:rsidR="001F2000" w:rsidRDefault="001F2000" w:rsidP="00E90830"/>
    <w:p w:rsidR="000017AC" w:rsidRDefault="001F2000" w:rsidP="00E90830">
      <w:r>
        <w:t xml:space="preserve">For the deterministic </w:t>
      </w:r>
      <w:r w:rsidRPr="004379FF">
        <w:rPr>
          <w:i/>
        </w:rPr>
        <w:t>energy</w:t>
      </w:r>
      <w:r>
        <w:t xml:space="preserve"> threshold, a power supply </w:t>
      </w:r>
      <w:r w:rsidR="004379FF">
        <w:t xml:space="preserve">that just barely meets the 5 </w:t>
      </w:r>
      <w:r>
        <w:t>percent energy LOLP</w:t>
      </w:r>
      <w:r w:rsidR="004379FF">
        <w:t xml:space="preserve"> threshold</w:t>
      </w:r>
      <w:r>
        <w:t xml:space="preserve"> is used to calculate the </w:t>
      </w:r>
      <w:r w:rsidRPr="004379FF">
        <w:rPr>
          <w:i/>
        </w:rPr>
        <w:t>annual load/resource balance</w:t>
      </w:r>
      <w:r>
        <w:t xml:space="preserve">. </w:t>
      </w:r>
      <w:r w:rsidR="004379FF">
        <w:t xml:space="preserve"> </w:t>
      </w:r>
      <w:r>
        <w:t xml:space="preserve">On the resource side of that calculation, specific assumptions are made about non-firm resources, namely non-firm hydro, NW independent power producers and the SW spot market.  For the deterministic </w:t>
      </w:r>
      <w:r w:rsidRPr="004379FF">
        <w:rPr>
          <w:i/>
        </w:rPr>
        <w:t>capacity</w:t>
      </w:r>
      <w:r>
        <w:t xml:space="preserve"> threshold, the </w:t>
      </w:r>
      <w:r w:rsidRPr="004379FF">
        <w:rPr>
          <w:i/>
        </w:rPr>
        <w:t xml:space="preserve">average sustained-peak surplus capability </w:t>
      </w:r>
      <w:r>
        <w:t xml:space="preserve">is calculated for both winter and summer periods. </w:t>
      </w:r>
      <w:r w:rsidR="000017AC">
        <w:t>Similar assumptions regarding non-firm resources are made in this calculation.</w:t>
      </w:r>
    </w:p>
    <w:p w:rsidR="000017AC" w:rsidRDefault="000017AC" w:rsidP="00E90830"/>
    <w:p w:rsidR="007826A5" w:rsidRDefault="000017AC" w:rsidP="00E90830">
      <w:r>
        <w:t xml:space="preserve">Because of the difficulty in calibrating the deterministic thresholds and also because of </w:t>
      </w:r>
      <w:r w:rsidR="004379FF">
        <w:t xml:space="preserve">the potential for </w:t>
      </w:r>
      <w:r>
        <w:t xml:space="preserve">misinterpretation and misuse, the suggestion is to not include deterministic </w:t>
      </w:r>
      <w:r w:rsidR="004C13B2" w:rsidRPr="00A340DD">
        <w:t>metrics</w:t>
      </w:r>
      <w:r>
        <w:t xml:space="preserve"> as part of the adequacy standard.  </w:t>
      </w:r>
      <w:r w:rsidR="004379FF">
        <w:t xml:space="preserve">Rather, the standard can note that these metrics, while </w:t>
      </w:r>
      <w:r>
        <w:t xml:space="preserve">not a part of the official standard, can still be calculated and used for communication with other regions that continue to use such measures.  </w:t>
      </w:r>
      <w:r w:rsidR="001F2000">
        <w:t xml:space="preserve">     </w:t>
      </w:r>
      <w:r w:rsidR="007826A5">
        <w:t xml:space="preserve"> </w:t>
      </w:r>
    </w:p>
    <w:p w:rsidR="007826A5" w:rsidRDefault="007826A5" w:rsidP="00E90830"/>
    <w:p w:rsidR="007C74AE" w:rsidRPr="007826A5" w:rsidRDefault="007A3221" w:rsidP="00E90830">
      <w:pPr>
        <w:rPr>
          <w:b/>
        </w:rPr>
      </w:pPr>
      <w:r>
        <w:rPr>
          <w:b/>
        </w:rPr>
        <w:t>Other Considerations</w:t>
      </w:r>
      <w:r w:rsidR="007826A5" w:rsidRPr="007826A5">
        <w:rPr>
          <w:b/>
        </w:rPr>
        <w:t xml:space="preserve"> </w:t>
      </w:r>
      <w:r w:rsidR="007C74AE" w:rsidRPr="007826A5">
        <w:rPr>
          <w:b/>
        </w:rPr>
        <w:t xml:space="preserve">  </w:t>
      </w:r>
    </w:p>
    <w:p w:rsidR="007C74AE" w:rsidRDefault="007C74AE" w:rsidP="00E90830"/>
    <w:p w:rsidR="005C6A6F" w:rsidRPr="00AE002B" w:rsidRDefault="007A3221" w:rsidP="00E90830">
      <w:r>
        <w:t>There are obviously other options for a new standard along with o</w:t>
      </w:r>
      <w:r w:rsidR="007826A5">
        <w:t xml:space="preserve">ther </w:t>
      </w:r>
      <w:r>
        <w:t xml:space="preserve">summary statistics that can inform utility planners.  </w:t>
      </w:r>
      <w:r w:rsidR="007826A5">
        <w:t xml:space="preserve">For example, </w:t>
      </w:r>
      <w:r w:rsidR="00E90830" w:rsidRPr="00AE002B">
        <w:t xml:space="preserve">the probability of dispatch for contingency resources </w:t>
      </w:r>
      <w:r>
        <w:t xml:space="preserve">(CRUP) </w:t>
      </w:r>
      <w:r w:rsidR="00E90830" w:rsidRPr="00AE002B">
        <w:t>and the probability for curtailment</w:t>
      </w:r>
      <w:r>
        <w:t xml:space="preserve"> (LOLP)</w:t>
      </w:r>
      <w:r w:rsidR="00E90830" w:rsidRPr="00AE002B">
        <w:t xml:space="preserve"> </w:t>
      </w:r>
      <w:r w:rsidR="007826A5">
        <w:t xml:space="preserve">can be </w:t>
      </w:r>
      <w:r w:rsidR="00E90830" w:rsidRPr="00AE002B">
        <w:t xml:space="preserve">illustrated on a </w:t>
      </w:r>
      <w:r w:rsidR="00E90830" w:rsidRPr="004379FF">
        <w:rPr>
          <w:i/>
        </w:rPr>
        <w:t>monthly</w:t>
      </w:r>
      <w:r w:rsidR="00E90830" w:rsidRPr="00AE002B">
        <w:t xml:space="preserve"> basis</w:t>
      </w:r>
      <w:r w:rsidR="004379FF">
        <w:t xml:space="preserve"> instead of on a seasonal or annual basis</w:t>
      </w:r>
      <w:r w:rsidR="00E90830" w:rsidRPr="00AE002B">
        <w:t xml:space="preserve">. </w:t>
      </w:r>
      <w:r w:rsidR="007826A5">
        <w:t xml:space="preserve"> This type of chart would help highlight those periods of the year when problems are more likely to occur.  The danger of such a</w:t>
      </w:r>
      <w:r w:rsidR="004379FF">
        <w:t>n illustration</w:t>
      </w:r>
      <w:r w:rsidR="007826A5">
        <w:t xml:space="preserve"> is that </w:t>
      </w:r>
      <w:r w:rsidR="005C6A6F" w:rsidRPr="00AE002B">
        <w:t>chronological dependencies</w:t>
      </w:r>
      <w:r w:rsidR="007826A5">
        <w:t xml:space="preserve"> (i.e. month-to-month) are lost</w:t>
      </w:r>
      <w:r w:rsidR="005C6A6F" w:rsidRPr="00AE002B">
        <w:t xml:space="preserve">.  Nonetheless, it </w:t>
      </w:r>
      <w:r w:rsidR="007826A5">
        <w:t xml:space="preserve">should still provide a much richer set of data to planners than just simply an </w:t>
      </w:r>
      <w:r>
        <w:t xml:space="preserve">annual </w:t>
      </w:r>
      <w:r w:rsidR="007826A5">
        <w:t>LOLP</w:t>
      </w:r>
      <w:r>
        <w:t xml:space="preserve"> or CRUP</w:t>
      </w:r>
      <w:r w:rsidR="007826A5">
        <w:t xml:space="preserve"> value.  This </w:t>
      </w:r>
      <w:r>
        <w:t xml:space="preserve">type of data </w:t>
      </w:r>
      <w:r w:rsidR="007826A5">
        <w:t xml:space="preserve">would </w:t>
      </w:r>
      <w:r>
        <w:t>not have to be a part of the official</w:t>
      </w:r>
      <w:r w:rsidR="007826A5">
        <w:t xml:space="preserve"> standard. But, generating such a chart might satisfy those who argue for separate winter and summer adequacy limits and assessments.</w:t>
      </w:r>
      <w:r w:rsidR="00F367CD">
        <w:t xml:space="preserve">  </w:t>
      </w:r>
      <w:r w:rsidR="007826A5">
        <w:t xml:space="preserve">Separate capacity and energy adequacy metrics, however, will still be required.   </w:t>
      </w:r>
      <w:r w:rsidR="00504D31">
        <w:t xml:space="preserve"> </w:t>
      </w:r>
      <w:r w:rsidR="007826A5">
        <w:t xml:space="preserve"> </w:t>
      </w:r>
      <w:r w:rsidR="005C6A6F" w:rsidRPr="00AE002B">
        <w:t xml:space="preserve"> </w:t>
      </w:r>
    </w:p>
    <w:p w:rsidR="005C6A6F" w:rsidRPr="00AE002B" w:rsidRDefault="005C6A6F" w:rsidP="00E90830"/>
    <w:p w:rsidR="004379FF" w:rsidRDefault="004379FF" w:rsidP="00FE4FE3">
      <w:r>
        <w:t xml:space="preserve">It should also be noted that the potential adequacy metrics defined above are all related mathematically.  The Forum could decide to use any of the metrics (and appropriate thresholds) to define an adequate supply for the Northwest.  However, the relationship among these metrics is not likely linear.  Thus, one particular metric cannot be “calibrated” to another. </w:t>
      </w:r>
      <w:r w:rsidR="000156DB">
        <w:t xml:space="preserve"> The recommendation is for the Forum to choose one metric (and associated threshold) to define an adequate supply. Other metrics can be assessed but they will not be the measure by which adequacy is determined. </w:t>
      </w:r>
      <w:r>
        <w:t xml:space="preserve"> </w:t>
      </w:r>
    </w:p>
    <w:p w:rsidR="004379FF" w:rsidRDefault="004379FF" w:rsidP="00FE4FE3"/>
    <w:p w:rsidR="00F367CD" w:rsidRDefault="000156DB" w:rsidP="000B7872">
      <w:pPr>
        <w:shd w:val="clear" w:color="auto" w:fill="FFFFFF"/>
      </w:pPr>
      <w:r>
        <w:lastRenderedPageBreak/>
        <w:t>In addition, i</w:t>
      </w:r>
      <w:r w:rsidR="00F367CD">
        <w:t xml:space="preserve">t may still be necessary to incorporate a “noise” band in calculating the </w:t>
      </w:r>
      <w:r>
        <w:t xml:space="preserve">adequacy metric values (whether </w:t>
      </w:r>
      <w:r w:rsidR="00F367CD">
        <w:t>LOLP</w:t>
      </w:r>
      <w:r>
        <w:t xml:space="preserve">, CRUP or other). </w:t>
      </w:r>
      <w:r w:rsidR="00F367CD">
        <w:t xml:space="preserve"> This would be used to eliminate insignificant events and to account for system capabilities not modeled in Genesys.  </w:t>
      </w:r>
    </w:p>
    <w:p w:rsidR="00F367CD" w:rsidRDefault="00F367CD" w:rsidP="000B7872">
      <w:pPr>
        <w:shd w:val="clear" w:color="auto" w:fill="FFFFFF"/>
      </w:pPr>
    </w:p>
    <w:p w:rsidR="0076767B" w:rsidRDefault="0076767B" w:rsidP="00BF4E33">
      <w:pPr>
        <w:shd w:val="clear" w:color="auto" w:fill="FFFFFF"/>
      </w:pPr>
    </w:p>
    <w:p w:rsidR="0076767B" w:rsidRPr="00AE002B" w:rsidRDefault="0076767B" w:rsidP="00BF4E33">
      <w:pPr>
        <w:shd w:val="clear" w:color="auto" w:fill="FFFFFF"/>
      </w:pPr>
      <w:r w:rsidRPr="00F367CD">
        <w:rPr>
          <w:b/>
        </w:rPr>
        <w:t>Appendix A</w:t>
      </w:r>
      <w:r>
        <w:t xml:space="preserve"> – Peer Review of the NW Adequacy Methodology</w:t>
      </w:r>
    </w:p>
    <w:p w:rsidR="00132D38" w:rsidRPr="00AE002B" w:rsidRDefault="00132D38"/>
    <w:p w:rsidR="00CE0441" w:rsidRDefault="00CE0441"/>
    <w:p w:rsidR="00CE0441" w:rsidRPr="00CE0441" w:rsidRDefault="00CE0441">
      <w:pPr>
        <w:rPr>
          <w:color w:val="FF0000"/>
          <w:sz w:val="12"/>
        </w:rPr>
      </w:pPr>
      <w:bookmarkStart w:id="0" w:name="Tagg"/>
      <w:r w:rsidRPr="00CE0441">
        <w:rPr>
          <w:color w:val="FF0000"/>
          <w:sz w:val="12"/>
        </w:rPr>
        <w:t>________________________________________</w:t>
      </w:r>
    </w:p>
    <w:p w:rsidR="00CE0441" w:rsidRPr="00CE0441" w:rsidRDefault="00CE0441">
      <w:pPr>
        <w:rPr>
          <w:color w:val="FF0000"/>
          <w:sz w:val="12"/>
        </w:rPr>
      </w:pPr>
    </w:p>
    <w:p w:rsidR="00A10244" w:rsidRPr="00CE0441" w:rsidRDefault="00CE0441">
      <w:pPr>
        <w:rPr>
          <w:color w:val="FF0000"/>
          <w:sz w:val="12"/>
        </w:rPr>
      </w:pPr>
      <w:r w:rsidRPr="00CE0441">
        <w:rPr>
          <w:color w:val="FF0000"/>
          <w:sz w:val="12"/>
        </w:rPr>
        <w:t xml:space="preserve">q:\jf\ra forum\new std\new adequacy </w:t>
      </w:r>
      <w:proofErr w:type="gramStart"/>
      <w:r w:rsidRPr="00CE0441">
        <w:rPr>
          <w:color w:val="FF0000"/>
          <w:sz w:val="12"/>
        </w:rPr>
        <w:t>std</w:t>
      </w:r>
      <w:proofErr w:type="gramEnd"/>
      <w:r w:rsidRPr="00CE0441">
        <w:rPr>
          <w:color w:val="FF0000"/>
          <w:sz w:val="12"/>
        </w:rPr>
        <w:t xml:space="preserve"> v4.docx</w:t>
      </w:r>
      <w:bookmarkEnd w:id="0"/>
    </w:p>
    <w:sectPr w:rsidR="00A10244" w:rsidRPr="00CE0441" w:rsidSect="00E359F3">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EDD" w:rsidRDefault="009C5EDD" w:rsidP="0048289D">
      <w:r>
        <w:separator/>
      </w:r>
    </w:p>
  </w:endnote>
  <w:endnote w:type="continuationSeparator" w:id="0">
    <w:p w:rsidR="009C5EDD" w:rsidRDefault="009C5EDD" w:rsidP="0048289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EDD" w:rsidRDefault="009C5EDD">
    <w:pPr>
      <w:pStyle w:val="Footer"/>
      <w:jc w:val="center"/>
    </w:pPr>
    <w:fldSimple w:instr=" PAGE   \* MERGEFORMAT ">
      <w:r w:rsidR="00DB06F8">
        <w:rPr>
          <w:noProof/>
        </w:rPr>
        <w:t>1</w:t>
      </w:r>
    </w:fldSimple>
  </w:p>
  <w:p w:rsidR="009C5EDD" w:rsidRDefault="009C5E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EDD" w:rsidRDefault="009C5EDD" w:rsidP="0048289D">
      <w:r>
        <w:separator/>
      </w:r>
    </w:p>
  </w:footnote>
  <w:footnote w:type="continuationSeparator" w:id="0">
    <w:p w:rsidR="009C5EDD" w:rsidRDefault="009C5EDD" w:rsidP="0048289D">
      <w:r>
        <w:continuationSeparator/>
      </w:r>
    </w:p>
  </w:footnote>
  <w:footnote w:id="1">
    <w:p w:rsidR="009C5EDD" w:rsidRDefault="009C5EDD">
      <w:pPr>
        <w:pStyle w:val="FootnoteText"/>
      </w:pPr>
      <w:r>
        <w:rPr>
          <w:rStyle w:val="FootnoteReference"/>
        </w:rPr>
        <w:footnoteRef/>
      </w:r>
      <w:r>
        <w:t xml:space="preserve"> The current standard was adopted by the Northwest Power and Conservation Council on April 18, 2008 (Council document number 2008-07) and can be found at </w:t>
      </w:r>
      <w:hyperlink r:id="rId1" w:history="1">
        <w:r w:rsidRPr="00165F5B">
          <w:rPr>
            <w:rStyle w:val="Hyperlink"/>
          </w:rPr>
          <w:t>http://www.nwcouncil.org/library/2008/2008-07.pdf</w:t>
        </w:r>
      </w:hyperlink>
      <w:r>
        <w:t xml:space="preserve">. </w:t>
      </w:r>
    </w:p>
  </w:footnote>
  <w:footnote w:id="2">
    <w:p w:rsidR="009C5EDD" w:rsidRDefault="009C5EDD">
      <w:pPr>
        <w:pStyle w:val="FootnoteText"/>
      </w:pPr>
      <w:r>
        <w:rPr>
          <w:rStyle w:val="FootnoteReference"/>
        </w:rPr>
        <w:footnoteRef/>
      </w:r>
      <w:r>
        <w:t xml:space="preserve"> The latest published assessment can be found in Chapter 14 of the Council’s Sixth Power Plan, at </w:t>
      </w:r>
      <w:hyperlink r:id="rId2" w:history="1">
        <w:r w:rsidRPr="003A6DEA">
          <w:rPr>
            <w:rStyle w:val="Hyperlink"/>
          </w:rPr>
          <w:t>http://www.nwcouncil.org/energy/powerplan/6/final/SixthPowerPlan_Ch14.pdf</w:t>
        </w:r>
      </w:hyperlink>
      <w:r>
        <w:t xml:space="preserve">. </w:t>
      </w:r>
    </w:p>
  </w:footnote>
  <w:footnote w:id="3">
    <w:p w:rsidR="009C5EDD" w:rsidRDefault="009C5EDD">
      <w:pPr>
        <w:pStyle w:val="FootnoteText"/>
      </w:pPr>
      <w:r>
        <w:rPr>
          <w:rStyle w:val="FootnoteReference"/>
        </w:rPr>
        <w:footnoteRef/>
      </w:r>
      <w:r>
        <w:t xml:space="preserve"> The current NW adequacy standard assesses winter and summer adequacy separately, meaning that both a winter and a summer LOLP will be assessed.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EDD" w:rsidRPr="00AE002B" w:rsidRDefault="009C5EDD">
    <w:pPr>
      <w:pStyle w:val="Header"/>
    </w:pPr>
    <w:r w:rsidRPr="00AE002B">
      <w:t xml:space="preserve">DRAFT </w:t>
    </w:r>
    <w:r>
      <w:t>Version 4 June 16</w:t>
    </w:r>
    <w:r w:rsidRPr="00AE002B">
      <w:t>, 2011</w:t>
    </w:r>
  </w:p>
  <w:p w:rsidR="009C5EDD" w:rsidRDefault="009C5E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65682"/>
    <w:multiLevelType w:val="hybridMultilevel"/>
    <w:tmpl w:val="EA78C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6D4E9C"/>
    <w:multiLevelType w:val="hybridMultilevel"/>
    <w:tmpl w:val="CD107B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DB5FA5"/>
    <w:multiLevelType w:val="hybridMultilevel"/>
    <w:tmpl w:val="F50A2AF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E900E97"/>
    <w:multiLevelType w:val="hybridMultilevel"/>
    <w:tmpl w:val="D6F8A8DA"/>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4">
    <w:nsid w:val="4C3C564E"/>
    <w:multiLevelType w:val="multilevel"/>
    <w:tmpl w:val="0409001D"/>
    <w:lvl w:ilvl="0">
      <w:start w:val="1"/>
      <w:numFmt w:val="decimal"/>
      <w:lvlText w:val="%1)"/>
      <w:lvlJc w:val="left"/>
      <w:pPr>
        <w:tabs>
          <w:tab w:val="num" w:pos="360"/>
        </w:tabs>
        <w:ind w:left="360" w:hanging="360"/>
      </w:pPr>
      <w:rPr>
        <w:rFonts w:hint="default"/>
        <w:b/>
        <w:i w:val="0"/>
        <w:sz w:val="24"/>
        <w:szCs w:val="24"/>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080"/>
        </w:tabs>
        <w:ind w:left="1080" w:hanging="360"/>
      </w:pPr>
      <w:rPr>
        <w:rFonts w:hint="default"/>
        <w:b/>
        <w:i w:val="0"/>
        <w:sz w:val="24"/>
        <w:szCs w:val="24"/>
      </w:rPr>
    </w:lvl>
    <w:lvl w:ilvl="3">
      <w:start w:val="1"/>
      <w:numFmt w:val="decimal"/>
      <w:lvlText w:val="(%4)"/>
      <w:lvlJc w:val="left"/>
      <w:pPr>
        <w:tabs>
          <w:tab w:val="num" w:pos="1440"/>
        </w:tabs>
        <w:ind w:left="1440" w:hanging="360"/>
      </w:pPr>
      <w:rPr>
        <w:rFonts w:hint="default"/>
        <w:b/>
        <w:i w:val="0"/>
        <w:sz w:val="24"/>
        <w:szCs w:val="24"/>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66DC466A"/>
    <w:multiLevelType w:val="hybridMultilevel"/>
    <w:tmpl w:val="1160E3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EB1999"/>
    <w:multiLevelType w:val="hybridMultilevel"/>
    <w:tmpl w:val="93CA4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ED7D5B"/>
    <w:multiLevelType w:val="hybridMultilevel"/>
    <w:tmpl w:val="BE148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6"/>
  </w:num>
  <w:num w:numId="6">
    <w:abstractNumId w:val="7"/>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0B7872"/>
    <w:rsid w:val="000017AC"/>
    <w:rsid w:val="000156DB"/>
    <w:rsid w:val="00015FD8"/>
    <w:rsid w:val="000311A2"/>
    <w:rsid w:val="0003194B"/>
    <w:rsid w:val="00042BD8"/>
    <w:rsid w:val="000434D5"/>
    <w:rsid w:val="00056AFB"/>
    <w:rsid w:val="000774D2"/>
    <w:rsid w:val="0009266B"/>
    <w:rsid w:val="000B7872"/>
    <w:rsid w:val="000E4A14"/>
    <w:rsid w:val="00102F56"/>
    <w:rsid w:val="0011252C"/>
    <w:rsid w:val="00117731"/>
    <w:rsid w:val="001271EE"/>
    <w:rsid w:val="00132D38"/>
    <w:rsid w:val="00145FB3"/>
    <w:rsid w:val="0016629B"/>
    <w:rsid w:val="00173FC0"/>
    <w:rsid w:val="00175FEE"/>
    <w:rsid w:val="00181C0E"/>
    <w:rsid w:val="001859BA"/>
    <w:rsid w:val="00190333"/>
    <w:rsid w:val="001A286E"/>
    <w:rsid w:val="001A6CC4"/>
    <w:rsid w:val="001B5A27"/>
    <w:rsid w:val="001F2000"/>
    <w:rsid w:val="002500C5"/>
    <w:rsid w:val="00255F97"/>
    <w:rsid w:val="00282AB7"/>
    <w:rsid w:val="002866E0"/>
    <w:rsid w:val="002C4EDD"/>
    <w:rsid w:val="002E0D2A"/>
    <w:rsid w:val="002E24ED"/>
    <w:rsid w:val="00300797"/>
    <w:rsid w:val="0033514D"/>
    <w:rsid w:val="00346C32"/>
    <w:rsid w:val="00361F12"/>
    <w:rsid w:val="003C0F88"/>
    <w:rsid w:val="00405E81"/>
    <w:rsid w:val="00432643"/>
    <w:rsid w:val="004379FF"/>
    <w:rsid w:val="00450552"/>
    <w:rsid w:val="004732CB"/>
    <w:rsid w:val="0048289D"/>
    <w:rsid w:val="0049542A"/>
    <w:rsid w:val="004C13B2"/>
    <w:rsid w:val="00504D31"/>
    <w:rsid w:val="00545A09"/>
    <w:rsid w:val="00564502"/>
    <w:rsid w:val="005706D8"/>
    <w:rsid w:val="005712F3"/>
    <w:rsid w:val="0059346E"/>
    <w:rsid w:val="005C6A6F"/>
    <w:rsid w:val="005D2A28"/>
    <w:rsid w:val="005D5EF2"/>
    <w:rsid w:val="0060354F"/>
    <w:rsid w:val="00622118"/>
    <w:rsid w:val="0063527D"/>
    <w:rsid w:val="00645071"/>
    <w:rsid w:val="0066508B"/>
    <w:rsid w:val="00670B9E"/>
    <w:rsid w:val="00674B7C"/>
    <w:rsid w:val="0067781B"/>
    <w:rsid w:val="006C15E8"/>
    <w:rsid w:val="006C73CD"/>
    <w:rsid w:val="006F606E"/>
    <w:rsid w:val="00724201"/>
    <w:rsid w:val="007260E9"/>
    <w:rsid w:val="00760EE4"/>
    <w:rsid w:val="00763DA4"/>
    <w:rsid w:val="0076767B"/>
    <w:rsid w:val="007826A5"/>
    <w:rsid w:val="00787C1D"/>
    <w:rsid w:val="00787F98"/>
    <w:rsid w:val="00796203"/>
    <w:rsid w:val="007A3221"/>
    <w:rsid w:val="007B22BD"/>
    <w:rsid w:val="007B4BB4"/>
    <w:rsid w:val="007C74AE"/>
    <w:rsid w:val="008005AB"/>
    <w:rsid w:val="00815326"/>
    <w:rsid w:val="008227B5"/>
    <w:rsid w:val="008262C1"/>
    <w:rsid w:val="00850AAC"/>
    <w:rsid w:val="008648C2"/>
    <w:rsid w:val="0088502A"/>
    <w:rsid w:val="0089496D"/>
    <w:rsid w:val="008A5B73"/>
    <w:rsid w:val="008C398D"/>
    <w:rsid w:val="00915E98"/>
    <w:rsid w:val="009458D5"/>
    <w:rsid w:val="00953DE2"/>
    <w:rsid w:val="009645AE"/>
    <w:rsid w:val="0098377C"/>
    <w:rsid w:val="009A1BCE"/>
    <w:rsid w:val="009C5EDD"/>
    <w:rsid w:val="009F3175"/>
    <w:rsid w:val="009F39EB"/>
    <w:rsid w:val="00A069B4"/>
    <w:rsid w:val="00A06E74"/>
    <w:rsid w:val="00A10244"/>
    <w:rsid w:val="00A14657"/>
    <w:rsid w:val="00A17E04"/>
    <w:rsid w:val="00A340DD"/>
    <w:rsid w:val="00A52017"/>
    <w:rsid w:val="00A76E9C"/>
    <w:rsid w:val="00A90006"/>
    <w:rsid w:val="00AC09F3"/>
    <w:rsid w:val="00AD7FE5"/>
    <w:rsid w:val="00AE002B"/>
    <w:rsid w:val="00AE7461"/>
    <w:rsid w:val="00AE7831"/>
    <w:rsid w:val="00B06CF3"/>
    <w:rsid w:val="00B25846"/>
    <w:rsid w:val="00B278DE"/>
    <w:rsid w:val="00B27B08"/>
    <w:rsid w:val="00B31D8C"/>
    <w:rsid w:val="00B65E0A"/>
    <w:rsid w:val="00B866AF"/>
    <w:rsid w:val="00BA491C"/>
    <w:rsid w:val="00BA6903"/>
    <w:rsid w:val="00BB2610"/>
    <w:rsid w:val="00BD583D"/>
    <w:rsid w:val="00BE0F9C"/>
    <w:rsid w:val="00BE1483"/>
    <w:rsid w:val="00BE345F"/>
    <w:rsid w:val="00BE3D9E"/>
    <w:rsid w:val="00BF4E33"/>
    <w:rsid w:val="00BF712E"/>
    <w:rsid w:val="00C13145"/>
    <w:rsid w:val="00C21C53"/>
    <w:rsid w:val="00CD155D"/>
    <w:rsid w:val="00CE0441"/>
    <w:rsid w:val="00CE57FA"/>
    <w:rsid w:val="00CE75D6"/>
    <w:rsid w:val="00D0145E"/>
    <w:rsid w:val="00D121B6"/>
    <w:rsid w:val="00D57FF1"/>
    <w:rsid w:val="00D933B2"/>
    <w:rsid w:val="00D9360C"/>
    <w:rsid w:val="00DB06F8"/>
    <w:rsid w:val="00DB502E"/>
    <w:rsid w:val="00DE517F"/>
    <w:rsid w:val="00E359F3"/>
    <w:rsid w:val="00E44741"/>
    <w:rsid w:val="00E5614B"/>
    <w:rsid w:val="00E66935"/>
    <w:rsid w:val="00E77EB7"/>
    <w:rsid w:val="00E90830"/>
    <w:rsid w:val="00EA3B8B"/>
    <w:rsid w:val="00F00C1E"/>
    <w:rsid w:val="00F16624"/>
    <w:rsid w:val="00F367CD"/>
    <w:rsid w:val="00F7655F"/>
    <w:rsid w:val="00F86506"/>
    <w:rsid w:val="00F9007D"/>
    <w:rsid w:val="00F957A6"/>
    <w:rsid w:val="00FD7E40"/>
    <w:rsid w:val="00FE4F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9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289D"/>
    <w:pPr>
      <w:tabs>
        <w:tab w:val="center" w:pos="4680"/>
        <w:tab w:val="right" w:pos="9360"/>
      </w:tabs>
    </w:pPr>
  </w:style>
  <w:style w:type="character" w:customStyle="1" w:styleId="HeaderChar">
    <w:name w:val="Header Char"/>
    <w:basedOn w:val="DefaultParagraphFont"/>
    <w:link w:val="Header"/>
    <w:uiPriority w:val="99"/>
    <w:rsid w:val="0048289D"/>
    <w:rPr>
      <w:sz w:val="24"/>
      <w:szCs w:val="24"/>
    </w:rPr>
  </w:style>
  <w:style w:type="paragraph" w:styleId="Footer">
    <w:name w:val="footer"/>
    <w:basedOn w:val="Normal"/>
    <w:link w:val="FooterChar"/>
    <w:uiPriority w:val="99"/>
    <w:rsid w:val="0048289D"/>
    <w:pPr>
      <w:tabs>
        <w:tab w:val="center" w:pos="4680"/>
        <w:tab w:val="right" w:pos="9360"/>
      </w:tabs>
    </w:pPr>
  </w:style>
  <w:style w:type="character" w:customStyle="1" w:styleId="FooterChar">
    <w:name w:val="Footer Char"/>
    <w:basedOn w:val="DefaultParagraphFont"/>
    <w:link w:val="Footer"/>
    <w:uiPriority w:val="99"/>
    <w:rsid w:val="0048289D"/>
    <w:rPr>
      <w:sz w:val="24"/>
      <w:szCs w:val="24"/>
    </w:rPr>
  </w:style>
  <w:style w:type="paragraph" w:styleId="BalloonText">
    <w:name w:val="Balloon Text"/>
    <w:basedOn w:val="Normal"/>
    <w:link w:val="BalloonTextChar"/>
    <w:rsid w:val="0048289D"/>
    <w:rPr>
      <w:rFonts w:ascii="Tahoma" w:hAnsi="Tahoma" w:cs="Tahoma"/>
      <w:sz w:val="16"/>
      <w:szCs w:val="16"/>
    </w:rPr>
  </w:style>
  <w:style w:type="character" w:customStyle="1" w:styleId="BalloonTextChar">
    <w:name w:val="Balloon Text Char"/>
    <w:basedOn w:val="DefaultParagraphFont"/>
    <w:link w:val="BalloonText"/>
    <w:rsid w:val="0048289D"/>
    <w:rPr>
      <w:rFonts w:ascii="Tahoma" w:hAnsi="Tahoma" w:cs="Tahoma"/>
      <w:sz w:val="16"/>
      <w:szCs w:val="16"/>
    </w:rPr>
  </w:style>
  <w:style w:type="paragraph" w:styleId="ListParagraph">
    <w:name w:val="List Paragraph"/>
    <w:basedOn w:val="Normal"/>
    <w:uiPriority w:val="34"/>
    <w:qFormat/>
    <w:rsid w:val="00FE4FE3"/>
    <w:pPr>
      <w:ind w:left="720"/>
      <w:contextualSpacing/>
    </w:pPr>
  </w:style>
  <w:style w:type="paragraph" w:styleId="FootnoteText">
    <w:name w:val="footnote text"/>
    <w:basedOn w:val="Normal"/>
    <w:link w:val="FootnoteTextChar"/>
    <w:rsid w:val="00AE002B"/>
    <w:rPr>
      <w:sz w:val="20"/>
      <w:szCs w:val="20"/>
    </w:rPr>
  </w:style>
  <w:style w:type="character" w:customStyle="1" w:styleId="FootnoteTextChar">
    <w:name w:val="Footnote Text Char"/>
    <w:basedOn w:val="DefaultParagraphFont"/>
    <w:link w:val="FootnoteText"/>
    <w:rsid w:val="00AE002B"/>
  </w:style>
  <w:style w:type="character" w:styleId="FootnoteReference">
    <w:name w:val="footnote reference"/>
    <w:basedOn w:val="DefaultParagraphFont"/>
    <w:rsid w:val="00AE002B"/>
    <w:rPr>
      <w:vertAlign w:val="superscript"/>
    </w:rPr>
  </w:style>
  <w:style w:type="character" w:styleId="Hyperlink">
    <w:name w:val="Hyperlink"/>
    <w:basedOn w:val="DefaultParagraphFont"/>
    <w:rsid w:val="00AE002B"/>
    <w:rPr>
      <w:color w:val="0000FF" w:themeColor="hyperlink"/>
      <w:u w:val="single"/>
    </w:rPr>
  </w:style>
  <w:style w:type="character" w:styleId="FollowedHyperlink">
    <w:name w:val="FollowedHyperlink"/>
    <w:basedOn w:val="DefaultParagraphFont"/>
    <w:rsid w:val="002E0D2A"/>
    <w:rPr>
      <w:color w:val="800080" w:themeColor="followedHyperlink"/>
      <w:u w:val="single"/>
    </w:rPr>
  </w:style>
  <w:style w:type="paragraph" w:styleId="BodyText">
    <w:name w:val="Body Text"/>
    <w:basedOn w:val="Normal"/>
    <w:link w:val="BodyTextChar"/>
    <w:rsid w:val="0060354F"/>
    <w:pPr>
      <w:spacing w:after="120"/>
      <w:ind w:firstLine="720"/>
    </w:pPr>
    <w:rPr>
      <w:sz w:val="22"/>
      <w:szCs w:val="20"/>
    </w:rPr>
  </w:style>
  <w:style w:type="character" w:customStyle="1" w:styleId="BodyTextChar">
    <w:name w:val="Body Text Char"/>
    <w:basedOn w:val="DefaultParagraphFont"/>
    <w:link w:val="BodyText"/>
    <w:rsid w:val="0060354F"/>
    <w:rPr>
      <w:sz w:val="22"/>
    </w:rPr>
  </w:style>
</w:styles>
</file>

<file path=word/webSettings.xml><?xml version="1.0" encoding="utf-8"?>
<w:webSettings xmlns:r="http://schemas.openxmlformats.org/officeDocument/2006/relationships" xmlns:w="http://schemas.openxmlformats.org/wordprocessingml/2006/main">
  <w:divs>
    <w:div w:id="1680278451">
      <w:bodyDiv w:val="1"/>
      <w:marLeft w:val="0"/>
      <w:marRight w:val="0"/>
      <w:marTop w:val="0"/>
      <w:marBottom w:val="0"/>
      <w:divBdr>
        <w:top w:val="none" w:sz="0" w:space="0" w:color="auto"/>
        <w:left w:val="none" w:sz="0" w:space="0" w:color="auto"/>
        <w:bottom w:val="none" w:sz="0" w:space="0" w:color="auto"/>
        <w:right w:val="none" w:sz="0" w:space="0" w:color="auto"/>
      </w:divBdr>
    </w:div>
    <w:div w:id="1794011683">
      <w:bodyDiv w:val="1"/>
      <w:marLeft w:val="0"/>
      <w:marRight w:val="0"/>
      <w:marTop w:val="0"/>
      <w:marBottom w:val="0"/>
      <w:divBdr>
        <w:top w:val="none" w:sz="0" w:space="0" w:color="auto"/>
        <w:left w:val="none" w:sz="0" w:space="0" w:color="auto"/>
        <w:bottom w:val="none" w:sz="0" w:space="0" w:color="auto"/>
        <w:right w:val="none" w:sz="0" w:space="0" w:color="auto"/>
      </w:divBdr>
      <w:divsChild>
        <w:div w:id="660736080">
          <w:marLeft w:val="0"/>
          <w:marRight w:val="0"/>
          <w:marTop w:val="0"/>
          <w:marBottom w:val="0"/>
          <w:divBdr>
            <w:top w:val="none" w:sz="0" w:space="0" w:color="auto"/>
            <w:left w:val="none" w:sz="0" w:space="0" w:color="auto"/>
            <w:bottom w:val="none" w:sz="0" w:space="0" w:color="auto"/>
            <w:right w:val="none" w:sz="0" w:space="0" w:color="auto"/>
          </w:divBdr>
          <w:divsChild>
            <w:div w:id="1360815369">
              <w:marLeft w:val="0"/>
              <w:marRight w:val="0"/>
              <w:marTop w:val="0"/>
              <w:marBottom w:val="0"/>
              <w:divBdr>
                <w:top w:val="none" w:sz="0" w:space="0" w:color="auto"/>
                <w:left w:val="none" w:sz="0" w:space="0" w:color="auto"/>
                <w:bottom w:val="none" w:sz="0" w:space="0" w:color="auto"/>
                <w:right w:val="none" w:sz="0" w:space="0" w:color="auto"/>
              </w:divBdr>
              <w:divsChild>
                <w:div w:id="829832375">
                  <w:marLeft w:val="0"/>
                  <w:marRight w:val="0"/>
                  <w:marTop w:val="0"/>
                  <w:marBottom w:val="0"/>
                  <w:divBdr>
                    <w:top w:val="none" w:sz="0" w:space="0" w:color="auto"/>
                    <w:left w:val="none" w:sz="0" w:space="0" w:color="auto"/>
                    <w:bottom w:val="none" w:sz="0" w:space="0" w:color="auto"/>
                    <w:right w:val="none" w:sz="0" w:space="0" w:color="auto"/>
                  </w:divBdr>
                  <w:divsChild>
                    <w:div w:id="1966886342">
                      <w:marLeft w:val="0"/>
                      <w:marRight w:val="0"/>
                      <w:marTop w:val="0"/>
                      <w:marBottom w:val="0"/>
                      <w:divBdr>
                        <w:top w:val="none" w:sz="0" w:space="0" w:color="auto"/>
                        <w:left w:val="none" w:sz="0" w:space="0" w:color="auto"/>
                        <w:bottom w:val="none" w:sz="0" w:space="0" w:color="auto"/>
                        <w:right w:val="none" w:sz="0" w:space="0" w:color="auto"/>
                      </w:divBdr>
                      <w:divsChild>
                        <w:div w:id="1735666537">
                          <w:marLeft w:val="0"/>
                          <w:marRight w:val="0"/>
                          <w:marTop w:val="0"/>
                          <w:marBottom w:val="0"/>
                          <w:divBdr>
                            <w:top w:val="none" w:sz="0" w:space="0" w:color="auto"/>
                            <w:left w:val="none" w:sz="0" w:space="0" w:color="auto"/>
                            <w:bottom w:val="none" w:sz="0" w:space="0" w:color="auto"/>
                            <w:right w:val="none" w:sz="0" w:space="0" w:color="auto"/>
                          </w:divBdr>
                          <w:divsChild>
                            <w:div w:id="2086806063">
                              <w:marLeft w:val="0"/>
                              <w:marRight w:val="0"/>
                              <w:marTop w:val="0"/>
                              <w:marBottom w:val="0"/>
                              <w:divBdr>
                                <w:top w:val="none" w:sz="0" w:space="0" w:color="auto"/>
                                <w:left w:val="none" w:sz="0" w:space="0" w:color="auto"/>
                                <w:bottom w:val="none" w:sz="0" w:space="0" w:color="auto"/>
                                <w:right w:val="none" w:sz="0" w:space="0" w:color="auto"/>
                              </w:divBdr>
                              <w:divsChild>
                                <w:div w:id="838741285">
                                  <w:marLeft w:val="0"/>
                                  <w:marRight w:val="0"/>
                                  <w:marTop w:val="0"/>
                                  <w:marBottom w:val="0"/>
                                  <w:divBdr>
                                    <w:top w:val="none" w:sz="0" w:space="0" w:color="auto"/>
                                    <w:left w:val="none" w:sz="0" w:space="0" w:color="auto"/>
                                    <w:bottom w:val="none" w:sz="0" w:space="0" w:color="auto"/>
                                    <w:right w:val="none" w:sz="0" w:space="0" w:color="auto"/>
                                  </w:divBdr>
                                  <w:divsChild>
                                    <w:div w:id="288702343">
                                      <w:marLeft w:val="0"/>
                                      <w:marRight w:val="0"/>
                                      <w:marTop w:val="0"/>
                                      <w:marBottom w:val="0"/>
                                      <w:divBdr>
                                        <w:top w:val="none" w:sz="0" w:space="0" w:color="auto"/>
                                        <w:left w:val="none" w:sz="0" w:space="0" w:color="auto"/>
                                        <w:bottom w:val="none" w:sz="0" w:space="0" w:color="auto"/>
                                        <w:right w:val="none" w:sz="0" w:space="0" w:color="auto"/>
                                      </w:divBdr>
                                    </w:div>
                                    <w:div w:id="578173582">
                                      <w:marLeft w:val="0"/>
                                      <w:marRight w:val="0"/>
                                      <w:marTop w:val="0"/>
                                      <w:marBottom w:val="0"/>
                                      <w:divBdr>
                                        <w:top w:val="none" w:sz="0" w:space="0" w:color="auto"/>
                                        <w:left w:val="none" w:sz="0" w:space="0" w:color="auto"/>
                                        <w:bottom w:val="none" w:sz="0" w:space="0" w:color="auto"/>
                                        <w:right w:val="none" w:sz="0" w:space="0" w:color="auto"/>
                                      </w:divBdr>
                                    </w:div>
                                    <w:div w:id="877468164">
                                      <w:marLeft w:val="0"/>
                                      <w:marRight w:val="0"/>
                                      <w:marTop w:val="0"/>
                                      <w:marBottom w:val="0"/>
                                      <w:divBdr>
                                        <w:top w:val="none" w:sz="0" w:space="0" w:color="auto"/>
                                        <w:left w:val="none" w:sz="0" w:space="0" w:color="auto"/>
                                        <w:bottom w:val="none" w:sz="0" w:space="0" w:color="auto"/>
                                        <w:right w:val="none" w:sz="0" w:space="0" w:color="auto"/>
                                      </w:divBdr>
                                    </w:div>
                                    <w:div w:id="1093013605">
                                      <w:marLeft w:val="0"/>
                                      <w:marRight w:val="0"/>
                                      <w:marTop w:val="0"/>
                                      <w:marBottom w:val="0"/>
                                      <w:divBdr>
                                        <w:top w:val="none" w:sz="0" w:space="0" w:color="auto"/>
                                        <w:left w:val="none" w:sz="0" w:space="0" w:color="auto"/>
                                        <w:bottom w:val="none" w:sz="0" w:space="0" w:color="auto"/>
                                        <w:right w:val="none" w:sz="0" w:space="0" w:color="auto"/>
                                      </w:divBdr>
                                    </w:div>
                                    <w:div w:id="1416704422">
                                      <w:marLeft w:val="0"/>
                                      <w:marRight w:val="0"/>
                                      <w:marTop w:val="0"/>
                                      <w:marBottom w:val="0"/>
                                      <w:divBdr>
                                        <w:top w:val="none" w:sz="0" w:space="0" w:color="auto"/>
                                        <w:left w:val="none" w:sz="0" w:space="0" w:color="auto"/>
                                        <w:bottom w:val="none" w:sz="0" w:space="0" w:color="auto"/>
                                        <w:right w:val="none" w:sz="0" w:space="0" w:color="auto"/>
                                      </w:divBdr>
                                    </w:div>
                                    <w:div w:id="195651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nwcouncil.org/energy/powerplan/6/final/SixthPowerPlan_Ch14.pdf" TargetMode="External"/><Relationship Id="rId1" Type="http://schemas.openxmlformats.org/officeDocument/2006/relationships/hyperlink" Target="http://www.nwcouncil.org/library/2008/2008-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B496B-2395-4F2D-AE7B-477D45474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8</Pages>
  <Words>3284</Words>
  <Characters>17131</Characters>
  <Application>Microsoft Office Word</Application>
  <DocSecurity>0</DocSecurity>
  <Lines>329</Lines>
  <Paragraphs>84</Paragraphs>
  <ScaleCrop>false</ScaleCrop>
  <HeadingPairs>
    <vt:vector size="2" baseType="variant">
      <vt:variant>
        <vt:lpstr>Title</vt:lpstr>
      </vt:variant>
      <vt:variant>
        <vt:i4>1</vt:i4>
      </vt:variant>
    </vt:vector>
  </HeadingPairs>
  <TitlesOfParts>
    <vt:vector size="1" baseType="lpstr">
      <vt:lpstr>Adequacy Technical Committee Co-chair Meeting Notes</vt:lpstr>
    </vt:vector>
  </TitlesOfParts>
  <Company>Northwest Power and Conservation Council</Company>
  <LinksUpToDate>false</LinksUpToDate>
  <CharactersWithSpaces>20331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Adequacy Technical Committee Co-chair Meeting Notes</dc:title>
  <dc:creator>John</dc:creator>
  <cp:lastModifiedBy> John Fazio</cp:lastModifiedBy>
  <cp:revision>24</cp:revision>
  <dcterms:created xsi:type="dcterms:W3CDTF">2011-06-16T16:50:00Z</dcterms:created>
  <dcterms:modified xsi:type="dcterms:W3CDTF">2011-06-17T16:49:00Z</dcterms:modified>
</cp:coreProperties>
</file>